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left" w:pos="2329" w:leader="none"/>
        </w:tabs>
        <w:rPr>
          <w:rFonts w:cs="Calibri"/>
          <w:b/>
          <w:b/>
        </w:rPr>
      </w:pPr>
      <w:r>
        <w:rPr>
          <w:rFonts w:cs="Calibri"/>
          <w:b/>
        </w:rPr>
      </w:r>
    </w:p>
    <w:p>
      <w:pPr>
        <w:pStyle w:val="Normal"/>
        <w:tabs>
          <w:tab w:val="clear" w:pos="708"/>
          <w:tab w:val="left" w:pos="2329" w:leader="none"/>
        </w:tabs>
        <w:rPr>
          <w:rFonts w:cs="Calibri"/>
          <w:b/>
          <w:b/>
        </w:rPr>
      </w:pPr>
      <w:r>
        <w:rPr>
          <w:rFonts w:cs="Calibri"/>
          <w:b/>
        </w:rPr>
      </w:r>
    </w:p>
    <w:p>
      <w:pPr>
        <w:pStyle w:val="Normal"/>
        <w:tabs>
          <w:tab w:val="clear" w:pos="708"/>
          <w:tab w:val="left" w:pos="2329" w:leader="none"/>
        </w:tabs>
        <w:rPr>
          <w:rFonts w:cs="Calibri"/>
          <w:b/>
          <w:b/>
        </w:rPr>
      </w:pPr>
      <w:r>
        <w:rPr>
          <w:rFonts w:cs="Calibri"/>
          <w:b/>
        </w:rPr>
      </w:r>
    </w:p>
    <w:p>
      <w:pPr>
        <w:pStyle w:val="Normal"/>
        <w:tabs>
          <w:tab w:val="clear" w:pos="708"/>
          <w:tab w:val="left" w:pos="2329" w:leader="none"/>
        </w:tabs>
        <w:rPr>
          <w:rFonts w:cs="Calibri"/>
          <w:b/>
          <w:b/>
        </w:rPr>
      </w:pPr>
      <w:r>
        <w:rPr>
          <w:rFonts w:cs="Calibri"/>
          <w:b/>
        </w:rPr>
      </w:r>
    </w:p>
    <w:p>
      <w:pPr>
        <w:pStyle w:val="Normal"/>
        <w:tabs>
          <w:tab w:val="clear" w:pos="708"/>
          <w:tab w:val="left" w:pos="2329" w:leader="none"/>
        </w:tabs>
        <w:rPr>
          <w:rFonts w:cs="Calibri"/>
          <w:b/>
          <w:b/>
        </w:rPr>
      </w:pPr>
      <w:r>
        <w:rPr>
          <w:rFonts w:cs="Calibri"/>
          <w:b/>
        </w:rPr>
      </w:r>
    </w:p>
    <w:p>
      <w:pPr>
        <w:pStyle w:val="Normal"/>
        <w:tabs>
          <w:tab w:val="clear" w:pos="708"/>
          <w:tab w:val="left" w:pos="2329" w:leader="none"/>
        </w:tabs>
        <w:rPr>
          <w:rFonts w:cs="Calibri"/>
          <w:b/>
          <w:b/>
        </w:rPr>
      </w:pPr>
      <w:r>
        <w:rPr>
          <w:rFonts w:cs="Calibri"/>
          <w:b/>
        </w:rPr>
      </w:r>
    </w:p>
    <w:p>
      <w:pPr>
        <w:pStyle w:val="Normal"/>
        <w:tabs>
          <w:tab w:val="clear" w:pos="708"/>
          <w:tab w:val="left" w:pos="2329" w:leader="none"/>
        </w:tabs>
        <w:rPr>
          <w:rFonts w:cs="Calibri"/>
          <w:b/>
          <w:b/>
        </w:rPr>
      </w:pPr>
      <w:r>
        <w:rPr>
          <w:rFonts w:cs="Calibri"/>
          <w:b/>
        </w:rPr>
      </w:r>
    </w:p>
    <w:p>
      <w:pPr>
        <w:pStyle w:val="Normal"/>
        <w:tabs>
          <w:tab w:val="clear" w:pos="708"/>
          <w:tab w:val="left" w:pos="2329" w:leader="none"/>
        </w:tabs>
        <w:rPr>
          <w:rFonts w:cs="Calibri"/>
          <w:b/>
          <w:b/>
        </w:rPr>
      </w:pPr>
      <w:r>
        <w:rPr>
          <w:rFonts w:cs="Calibri"/>
          <w:b/>
        </w:rPr>
      </w:r>
    </w:p>
    <w:p>
      <w:pPr>
        <w:pStyle w:val="Normal"/>
        <w:tabs>
          <w:tab w:val="clear" w:pos="708"/>
          <w:tab w:val="left" w:pos="2329" w:leader="none"/>
        </w:tabs>
        <w:rPr>
          <w:rFonts w:cs="Calibri"/>
          <w:b/>
          <w:b/>
        </w:rPr>
      </w:pPr>
      <w:r>
        <w:rPr>
          <w:rFonts w:cs="Calibri"/>
          <w:b/>
        </w:rPr>
      </w:r>
    </w:p>
    <w:p>
      <w:pPr>
        <w:pStyle w:val="Normal"/>
        <w:spacing w:lineRule="auto" w:line="240" w:before="0" w:after="0"/>
        <w:jc w:val="center"/>
        <w:rPr>
          <w:rFonts w:ascii="Times New Roman" w:hAnsi="Times New Roman" w:cs="Times New Roman"/>
          <w:b/>
          <w:b/>
          <w:sz w:val="24"/>
          <w:szCs w:val="26"/>
        </w:rPr>
      </w:pPr>
      <w:r>
        <w:rPr>
          <w:rFonts w:cs="Times New Roman" w:ascii="Times New Roman" w:hAnsi="Times New Roman"/>
          <w:b/>
          <w:sz w:val="24"/>
          <w:szCs w:val="26"/>
        </w:rPr>
        <w:t>Технические требования на выполнение работ</w:t>
      </w:r>
    </w:p>
    <w:p>
      <w:pPr>
        <w:pStyle w:val="Normal"/>
        <w:spacing w:lineRule="auto" w:line="240" w:before="0" w:after="0"/>
        <w:jc w:val="center"/>
        <w:rPr>
          <w:rFonts w:ascii="Times New Roman" w:hAnsi="Times New Roman" w:cs="Times New Roman"/>
          <w:b/>
          <w:b/>
          <w:sz w:val="24"/>
          <w:szCs w:val="26"/>
        </w:rPr>
      </w:pPr>
      <w:r>
        <w:rPr>
          <w:rFonts w:cs="Times New Roman" w:ascii="Times New Roman" w:hAnsi="Times New Roman"/>
          <w:b/>
          <w:sz w:val="24"/>
          <w:szCs w:val="26"/>
        </w:rPr>
      </w:r>
    </w:p>
    <w:p>
      <w:pPr>
        <w:pStyle w:val="Normal"/>
        <w:spacing w:lineRule="auto" w:line="240" w:before="0" w:after="0"/>
        <w:jc w:val="center"/>
        <w:rPr/>
      </w:pPr>
      <w:r>
        <w:rPr>
          <w:rFonts w:cs="Times New Roman" w:ascii="Times New Roman" w:hAnsi="Times New Roman"/>
          <w:b/>
          <w:bCs/>
          <w:i/>
          <w:sz w:val="24"/>
          <w:szCs w:val="24"/>
        </w:rPr>
        <w:t>«</w:t>
      </w:r>
      <w:bookmarkStart w:id="0" w:name="__DdeLink__1302_2324035875"/>
      <w:r>
        <w:rPr>
          <w:rFonts w:cs="Times New Roman" w:ascii="Times New Roman" w:hAnsi="Times New Roman"/>
          <w:b/>
          <w:bCs/>
          <w:i/>
          <w:sz w:val="26"/>
          <w:szCs w:val="26"/>
        </w:rPr>
        <w:t xml:space="preserve">ОКДП2 </w:t>
      </w:r>
      <w:r>
        <w:rPr>
          <w:rFonts w:cs="Times New Roman" w:ascii="Times New Roman" w:hAnsi="Times New Roman"/>
          <w:b/>
          <w:bCs/>
          <w:i/>
          <w:sz w:val="26"/>
          <w:szCs w:val="26"/>
        </w:rPr>
        <w:t xml:space="preserve">42.22.12.110 </w:t>
      </w:r>
      <w:r>
        <w:rPr>
          <w:rFonts w:cs="Times New Roman" w:ascii="Times New Roman" w:hAnsi="Times New Roman"/>
          <w:b/>
          <w:bCs/>
          <w:i/>
          <w:sz w:val="26"/>
          <w:szCs w:val="26"/>
        </w:rPr>
        <w:t>Выполнение проектных работ (в том числе оформление правоустанавливающих документов на землю) по строительству объектов для технологического присоединения к электрическим сетям заявителя ООО «Специализированный застройщик Старк» (Q_25-ПЭС-6183 ПТП) в г. Владивостоке, Приморского края</w:t>
      </w:r>
      <w:bookmarkEnd w:id="0"/>
      <w:r>
        <w:rPr>
          <w:rFonts w:cs="Times New Roman" w:ascii="Times New Roman" w:hAnsi="Times New Roman"/>
          <w:b/>
          <w:bCs/>
          <w:i/>
          <w:sz w:val="24"/>
          <w:szCs w:val="24"/>
        </w:rPr>
        <w:t>»</w:t>
      </w:r>
    </w:p>
    <w:p>
      <w:pPr>
        <w:pStyle w:val="Normal"/>
        <w:spacing w:lineRule="auto" w:line="240" w:before="0" w:after="0"/>
        <w:jc w:val="center"/>
        <w:rPr>
          <w:rFonts w:ascii="Times New Roman" w:hAnsi="Times New Roman" w:cs="Times New Roman"/>
          <w:b/>
          <w:b/>
          <w:bCs/>
          <w:i/>
          <w:i/>
          <w:sz w:val="24"/>
          <w:szCs w:val="24"/>
        </w:rPr>
      </w:pPr>
      <w:r>
        <w:rPr>
          <w:rFonts w:cs="Times New Roman" w:ascii="Times New Roman" w:hAnsi="Times New Roman"/>
          <w:b/>
          <w:bCs/>
          <w:i/>
          <w:sz w:val="24"/>
          <w:szCs w:val="24"/>
        </w:rPr>
      </w:r>
    </w:p>
    <w:p>
      <w:pPr>
        <w:pStyle w:val="Normal"/>
        <w:spacing w:lineRule="auto" w:line="240" w:before="0" w:after="0"/>
        <w:jc w:val="center"/>
        <w:rPr>
          <w:rFonts w:ascii="Times New Roman" w:hAnsi="Times New Roman" w:cs="Times New Roman"/>
          <w:b/>
          <w:b/>
          <w:bCs/>
          <w:i/>
          <w:i/>
          <w:sz w:val="24"/>
          <w:szCs w:val="24"/>
        </w:rPr>
      </w:pPr>
      <w:r>
        <w:rPr>
          <w:rFonts w:cs="Times New Roman" w:ascii="Times New Roman" w:hAnsi="Times New Roman"/>
          <w:b/>
          <w:bCs/>
          <w:i/>
          <w:sz w:val="24"/>
          <w:szCs w:val="24"/>
        </w:rPr>
      </w:r>
    </w:p>
    <w:p>
      <w:pPr>
        <w:pStyle w:val="Normal"/>
        <w:spacing w:before="0" w:after="0"/>
        <w:jc w:val="center"/>
        <w:rPr/>
      </w:pPr>
      <w:r>
        <w:rPr>
          <w:rFonts w:cs="Times New Roman" w:ascii="Times New Roman" w:hAnsi="Times New Roman"/>
          <w:b/>
          <w:bCs/>
          <w:sz w:val="24"/>
          <w:szCs w:val="24"/>
        </w:rPr>
        <w:t>(</w:t>
      </w:r>
      <w:r>
        <w:rPr>
          <w:rFonts w:cs="Times New Roman" w:ascii="Times New Roman" w:hAnsi="Times New Roman"/>
          <w:b/>
          <w:bCs/>
          <w:smallCaps/>
          <w:color w:val="0070C0"/>
          <w:sz w:val="24"/>
          <w:szCs w:val="24"/>
        </w:rPr>
        <w:t xml:space="preserve">ЛОТ </w:t>
      </w:r>
      <w:r>
        <w:rPr>
          <w:rFonts w:cs="Times New Roman" w:ascii="Times New Roman" w:hAnsi="Times New Roman"/>
          <w:b/>
          <w:bCs/>
          <w:color w:val="0070C0"/>
          <w:sz w:val="24"/>
          <w:szCs w:val="24"/>
        </w:rPr>
        <w:t>№ 3810 -КС ПИР СМР-2026-ДРСК-ПЭС</w:t>
      </w:r>
      <w:r>
        <w:rPr>
          <w:rFonts w:cs="Times New Roman" w:ascii="Times New Roman" w:hAnsi="Times New Roman"/>
          <w:b/>
          <w:bCs/>
          <w:sz w:val="24"/>
          <w:szCs w:val="24"/>
        </w:rPr>
        <w:t>)</w:t>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Toaheading"/>
        <w:jc w:val="center"/>
        <w:rPr>
          <w:rFonts w:ascii="Times New Roman" w:hAnsi="Times New Roman"/>
          <w:color w:val="000000"/>
          <w:sz w:val="24"/>
          <w:szCs w:val="24"/>
        </w:rPr>
      </w:pPr>
      <w:r>
        <w:rPr>
          <w:rFonts w:ascii="Times New Roman" w:hAnsi="Times New Roman"/>
          <w:color w:val="000000"/>
          <w:sz w:val="24"/>
          <w:szCs w:val="24"/>
        </w:rPr>
      </w:r>
    </w:p>
    <w:p>
      <w:pPr>
        <w:pStyle w:val="Toaheading"/>
        <w:jc w:val="center"/>
        <w:rPr/>
      </w:pPr>
      <w:r>
        <w:rPr>
          <w:rFonts w:ascii="Times New Roman" w:hAnsi="Times New Roman"/>
          <w:color w:val="000000"/>
          <w:sz w:val="24"/>
          <w:szCs w:val="24"/>
        </w:rPr>
        <w:t>Содержание</w:t>
      </w:r>
    </w:p>
    <w:p>
      <w:pPr>
        <w:pStyle w:val="14"/>
        <w:tabs>
          <w:tab w:val="clear" w:pos="708"/>
          <w:tab w:val="left" w:pos="560" w:leader="none"/>
          <w:tab w:val="right" w:pos="9355" w:leader="dot"/>
        </w:tabs>
        <w:rPr/>
      </w:pPr>
      <w:hyperlink w:anchor="__RefHeading___Toc3281_2672195666">
        <w:r>
          <w:rPr>
            <w:b w:val="false"/>
            <w:bCs w:val="false"/>
            <w:color w:val="000000"/>
          </w:rPr>
          <w:t>1. Общие сведения</w:t>
          <w:tab/>
          <w:t>3</w:t>
        </w:r>
      </w:hyperlink>
    </w:p>
    <w:p>
      <w:pPr>
        <w:pStyle w:val="22"/>
        <w:tabs>
          <w:tab w:val="clear" w:pos="708"/>
          <w:tab w:val="right" w:pos="9355" w:leader="dot"/>
        </w:tabs>
        <w:rPr/>
      </w:pPr>
      <w:hyperlink w:anchor="__RefHeading___Toc3283_2672195666">
        <w:r>
          <w:rPr>
            <w:color w:val="000000"/>
            <w:szCs w:val="24"/>
          </w:rPr>
          <w:t>1.1. Обозначения и сокращения в электроэнергетике</w:t>
          <w:tab/>
          <w:t>3</w:t>
        </w:r>
      </w:hyperlink>
    </w:p>
    <w:p>
      <w:pPr>
        <w:pStyle w:val="22"/>
        <w:tabs>
          <w:tab w:val="clear" w:pos="708"/>
          <w:tab w:val="right" w:pos="9355" w:leader="dot"/>
        </w:tabs>
        <w:rPr/>
      </w:pPr>
      <w:hyperlink w:anchor="__RefHeading___Toc3285_2672195666">
        <w:r>
          <w:rPr>
            <w:color w:val="000000"/>
            <w:szCs w:val="24"/>
          </w:rPr>
          <w:t>1.2. Наименование закупаемых работ.</w:t>
          <w:tab/>
          <w:t>4</w:t>
        </w:r>
      </w:hyperlink>
    </w:p>
    <w:p>
      <w:pPr>
        <w:pStyle w:val="22"/>
        <w:tabs>
          <w:tab w:val="clear" w:pos="708"/>
          <w:tab w:val="right" w:pos="9355" w:leader="dot"/>
        </w:tabs>
        <w:rPr/>
      </w:pPr>
      <w:hyperlink w:anchor="__RefHeading___Toc3287_2672195666">
        <w:r>
          <w:rPr>
            <w:color w:val="000000"/>
            <w:szCs w:val="24"/>
          </w:rPr>
          <w:t>1.3. Цели и задачи.</w:t>
          <w:tab/>
          <w:t>4</w:t>
        </w:r>
      </w:hyperlink>
    </w:p>
    <w:p>
      <w:pPr>
        <w:pStyle w:val="31"/>
        <w:tabs>
          <w:tab w:val="clear" w:pos="708"/>
          <w:tab w:val="left" w:pos="1120" w:leader="none"/>
          <w:tab w:val="right" w:pos="9355" w:leader="dot"/>
        </w:tabs>
        <w:rPr/>
      </w:pPr>
      <w:hyperlink w:anchor="__RefHeading___Toc3671_2672195666">
        <w:r>
          <w:rPr>
            <w:color w:val="000000"/>
            <w:sz w:val="24"/>
            <w:szCs w:val="24"/>
          </w:rPr>
          <w:t>Таблица 1. Перечень объектов заказчика</w:t>
          <w:tab/>
          <w:t>4</w:t>
        </w:r>
      </w:hyperlink>
    </w:p>
    <w:p>
      <w:pPr>
        <w:pStyle w:val="14"/>
        <w:tabs>
          <w:tab w:val="clear" w:pos="708"/>
          <w:tab w:val="left" w:pos="560" w:leader="none"/>
          <w:tab w:val="right" w:pos="9355" w:leader="dot"/>
        </w:tabs>
        <w:rPr/>
      </w:pPr>
      <w:hyperlink w:anchor="__RefHeading___Toc3289_2672195666">
        <w:r>
          <w:rPr>
            <w:b w:val="false"/>
            <w:bCs w:val="false"/>
            <w:color w:val="000000"/>
          </w:rPr>
          <w:t>2. Требования к продукции</w:t>
          <w:tab/>
          <w:t>5</w:t>
        </w:r>
      </w:hyperlink>
    </w:p>
    <w:p>
      <w:pPr>
        <w:pStyle w:val="22"/>
        <w:tabs>
          <w:tab w:val="clear" w:pos="708"/>
          <w:tab w:val="right" w:pos="9355" w:leader="dot"/>
        </w:tabs>
        <w:rPr/>
      </w:pPr>
      <w:hyperlink w:anchor="__RefHeading___Toc3673_2672195666">
        <w:r>
          <w:rPr>
            <w:color w:val="000000"/>
            <w:szCs w:val="24"/>
          </w:rPr>
          <w:t>2.1. Требования к объемам и срокам выполнения работ</w:t>
          <w:tab/>
          <w:t>5</w:t>
        </w:r>
      </w:hyperlink>
    </w:p>
    <w:p>
      <w:pPr>
        <w:pStyle w:val="22"/>
        <w:tabs>
          <w:tab w:val="clear" w:pos="708"/>
          <w:tab w:val="right" w:pos="9355" w:leader="dot"/>
        </w:tabs>
        <w:rPr/>
      </w:pPr>
      <w:hyperlink w:anchor="__RefHeading___Toc3675_2672195666">
        <w:r>
          <w:rPr>
            <w:color w:val="000000"/>
            <w:szCs w:val="24"/>
          </w:rPr>
          <w:t>2.1.1. Требования к видам и объемам работ</w:t>
          <w:tab/>
          <w:t>5</w:t>
        </w:r>
      </w:hyperlink>
    </w:p>
    <w:p>
      <w:pPr>
        <w:pStyle w:val="31"/>
        <w:tabs>
          <w:tab w:val="clear" w:pos="708"/>
          <w:tab w:val="left" w:pos="1120" w:leader="none"/>
          <w:tab w:val="right" w:pos="9355" w:leader="dot"/>
        </w:tabs>
        <w:rPr/>
      </w:pPr>
      <w:hyperlink w:anchor="__RefHeading___Toc3677_2672195666">
        <w:r>
          <w:rPr>
            <w:color w:val="000000"/>
            <w:sz w:val="24"/>
            <w:szCs w:val="24"/>
          </w:rPr>
          <w:t>Таблица 2. Перечень и объем выполняемых работ</w:t>
          <w:tab/>
          <w:t>5</w:t>
        </w:r>
      </w:hyperlink>
    </w:p>
    <w:p>
      <w:pPr>
        <w:pStyle w:val="22"/>
        <w:tabs>
          <w:tab w:val="clear" w:pos="708"/>
          <w:tab w:val="right" w:pos="9355" w:leader="dot"/>
        </w:tabs>
        <w:rPr/>
      </w:pPr>
      <w:hyperlink w:anchor="__RefHeading___Toc3679_2672195666">
        <w:r>
          <w:rPr>
            <w:color w:val="000000"/>
            <w:szCs w:val="24"/>
          </w:rPr>
          <w:t>2.1.2. Требования к срокам выполнения работ</w:t>
          <w:tab/>
        </w:r>
      </w:hyperlink>
      <w:r>
        <w:rPr>
          <w:color w:val="000000"/>
          <w:szCs w:val="24"/>
        </w:rPr>
        <w:t>7</w:t>
      </w:r>
    </w:p>
    <w:p>
      <w:pPr>
        <w:pStyle w:val="31"/>
        <w:tabs>
          <w:tab w:val="clear" w:pos="708"/>
          <w:tab w:val="left" w:pos="1120" w:leader="none"/>
          <w:tab w:val="right" w:pos="9355" w:leader="dot"/>
        </w:tabs>
        <w:rPr/>
      </w:pPr>
      <w:hyperlink w:anchor="__RefHeading___Toc9124_2185547740">
        <w:r>
          <w:rPr>
            <w:color w:val="000000"/>
            <w:sz w:val="24"/>
            <w:szCs w:val="24"/>
          </w:rPr>
          <w:t>Таблица 3. Требования по срокам выполнения работ</w:t>
          <w:tab/>
          <w:t>7</w:t>
        </w:r>
      </w:hyperlink>
    </w:p>
    <w:p>
      <w:pPr>
        <w:pStyle w:val="22"/>
        <w:tabs>
          <w:tab w:val="clear" w:pos="708"/>
          <w:tab w:val="right" w:pos="9355" w:leader="dot"/>
        </w:tabs>
        <w:rPr/>
      </w:pPr>
      <w:hyperlink w:anchor="__RefHeading___Toc3681_2672195666">
        <w:r>
          <w:rPr>
            <w:color w:val="000000"/>
            <w:szCs w:val="24"/>
          </w:rPr>
          <w:t>2.2. Требования к качеству работ</w:t>
          <w:tab/>
          <w:t>8</w:t>
        </w:r>
      </w:hyperlink>
    </w:p>
    <w:p>
      <w:pPr>
        <w:pStyle w:val="31"/>
        <w:tabs>
          <w:tab w:val="clear" w:pos="708"/>
          <w:tab w:val="left" w:pos="1120" w:leader="none"/>
          <w:tab w:val="right" w:pos="9355" w:leader="dot"/>
        </w:tabs>
        <w:rPr/>
      </w:pPr>
      <w:hyperlink w:anchor="__RefHeading___Toc3683_2672195666">
        <w:r>
          <w:rPr>
            <w:color w:val="000000"/>
            <w:sz w:val="24"/>
            <w:szCs w:val="24"/>
          </w:rPr>
          <w:t>Таблица 4. Требования к качеству работ</w:t>
          <w:tab/>
          <w:t>8</w:t>
        </w:r>
      </w:hyperlink>
    </w:p>
    <w:p>
      <w:pPr>
        <w:pStyle w:val="14"/>
        <w:tabs>
          <w:tab w:val="clear" w:pos="708"/>
          <w:tab w:val="left" w:pos="560" w:leader="none"/>
          <w:tab w:val="right" w:pos="9355" w:leader="dot"/>
        </w:tabs>
        <w:rPr/>
      </w:pPr>
      <w:hyperlink w:anchor="__RefHeading___Toc3291_2672195666">
        <w:r>
          <w:rPr>
            <w:b w:val="false"/>
            <w:bCs w:val="false"/>
            <w:color w:val="000000"/>
          </w:rPr>
          <w:t>3. Требования к документации по ценообразованию на этапе закупки</w:t>
          <w:tab/>
        </w:r>
      </w:hyperlink>
      <w:r>
        <w:rPr>
          <w:rStyle w:val="Style27"/>
          <w:b w:val="false"/>
          <w:bCs w:val="false"/>
          <w:color w:val="000000"/>
        </w:rPr>
        <w:t>19</w:t>
      </w:r>
    </w:p>
    <w:p>
      <w:pPr>
        <w:pStyle w:val="14"/>
        <w:tabs>
          <w:tab w:val="clear" w:pos="708"/>
          <w:tab w:val="left" w:pos="560" w:leader="none"/>
          <w:tab w:val="right" w:pos="9355" w:leader="dot"/>
        </w:tabs>
        <w:rPr/>
      </w:pPr>
      <w:hyperlink w:anchor="__RefHeading___Toc3293_2672195666">
        <w:r>
          <w:rPr>
            <w:b w:val="false"/>
            <w:bCs w:val="false"/>
            <w:color w:val="000000"/>
          </w:rPr>
          <w:t>4. Требования к документации по ценообразованию на этапе заключения (исполнения) договора</w:t>
          <w:tab/>
        </w:r>
      </w:hyperlink>
      <w:r>
        <w:rPr>
          <w:rStyle w:val="Style27"/>
          <w:b w:val="false"/>
          <w:bCs w:val="false"/>
          <w:color w:val="000000"/>
        </w:rPr>
        <w:t>19</w:t>
      </w:r>
    </w:p>
    <w:p>
      <w:pPr>
        <w:pStyle w:val="14"/>
        <w:tabs>
          <w:tab w:val="clear" w:pos="708"/>
          <w:tab w:val="left" w:pos="560" w:leader="none"/>
          <w:tab w:val="right" w:pos="9355" w:leader="dot"/>
        </w:tabs>
        <w:rPr/>
      </w:pPr>
      <w:hyperlink w:anchor="__RefHeading___Toc9120_2185547740">
        <w:r>
          <w:rPr>
            <w:b w:val="false"/>
            <w:bCs w:val="false"/>
            <w:color w:val="000000"/>
          </w:rPr>
          <w:t>5. Требования к участнику закупки</w:t>
          <w:tab/>
        </w:r>
      </w:hyperlink>
      <w:r>
        <w:rPr>
          <w:rStyle w:val="Style27"/>
          <w:b w:val="false"/>
          <w:bCs w:val="false"/>
          <w:color w:val="000000"/>
        </w:rPr>
        <w:t>19</w:t>
      </w:r>
    </w:p>
    <w:p>
      <w:pPr>
        <w:pStyle w:val="14"/>
        <w:tabs>
          <w:tab w:val="clear" w:pos="708"/>
          <w:tab w:val="left" w:pos="560" w:leader="none"/>
          <w:tab w:val="right" w:pos="9355" w:leader="dot"/>
        </w:tabs>
        <w:spacing w:before="0" w:after="200"/>
        <w:jc w:val="center"/>
        <w:rPr/>
      </w:pPr>
      <w:hyperlink w:anchor="__RefHeading___Toc9122_2185547740">
        <w:r>
          <w:rPr>
            <w:rFonts w:eastAsia="Calibri" w:cs="Times New Roman"/>
            <w:b w:val="false"/>
            <w:bCs w:val="false"/>
            <w:color w:val="000000"/>
          </w:rPr>
          <w:t>6. Приложения</w:t>
          <w:tab/>
        </w:r>
      </w:hyperlink>
      <w:r>
        <w:rPr>
          <w:rStyle w:val="Style27"/>
          <w:rFonts w:eastAsia="Calibri" w:cs="Times New Roman"/>
          <w:b w:val="false"/>
          <w:bCs w:val="false"/>
          <w:color w:val="000000"/>
        </w:rPr>
        <w:t>19</w:t>
      </w:r>
    </w:p>
    <w:p>
      <w:pPr>
        <w:pStyle w:val="Normal"/>
        <w:spacing w:before="0" w:after="0"/>
        <w:jc w:val="center"/>
        <w:rPr>
          <w:rFonts w:ascii="Times New Roman" w:hAnsi="Times New Roman" w:cs="Times New Roman"/>
          <w:b/>
          <w:b/>
          <w:color w:val="333333"/>
          <w:sz w:val="24"/>
          <w:szCs w:val="24"/>
        </w:rPr>
      </w:pPr>
      <w:r>
        <w:rPr>
          <w:rFonts w:cs="Times New Roman" w:ascii="Times New Roman" w:hAnsi="Times New Roman"/>
          <w:b/>
          <w:color w:val="333333"/>
          <w:sz w:val="24"/>
          <w:szCs w:val="24"/>
        </w:rPr>
      </w:r>
    </w:p>
    <w:p>
      <w:pPr>
        <w:pStyle w:val="Normal"/>
        <w:spacing w:before="0" w:after="0"/>
        <w:jc w:val="center"/>
        <w:rPr>
          <w:rFonts w:ascii="Times New Roman" w:hAnsi="Times New Roman" w:cs="Times New Roman"/>
          <w:b/>
          <w:b/>
          <w:color w:val="333333"/>
          <w:sz w:val="24"/>
          <w:szCs w:val="24"/>
        </w:rPr>
      </w:pPr>
      <w:r>
        <w:rPr>
          <w:rFonts w:cs="Times New Roman" w:ascii="Times New Roman" w:hAnsi="Times New Roman"/>
          <w:b/>
          <w:color w:val="333333"/>
          <w:sz w:val="24"/>
          <w:szCs w:val="24"/>
        </w:rPr>
      </w:r>
      <w:bookmarkStart w:id="1" w:name="__DdeLink__2743_47993736111"/>
      <w:bookmarkStart w:id="2" w:name="__DdeLink__2743_47993736111"/>
      <w:bookmarkEnd w:id="2"/>
    </w:p>
    <w:p>
      <w:pPr>
        <w:pStyle w:val="Normal"/>
        <w:keepNext w:val="true"/>
        <w:keepLines/>
        <w:spacing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keepNext w:val="true"/>
        <w:numPr>
          <w:ilvl w:val="0"/>
          <w:numId w:val="0"/>
        </w:numPr>
        <w:spacing w:lineRule="auto" w:line="240" w:before="120" w:after="60"/>
        <w:ind w:left="432" w:hanging="432"/>
        <w:jc w:val="center"/>
        <w:outlineLvl w:val="3"/>
        <w:rPr>
          <w:rFonts w:ascii="Times New Roman" w:hAnsi="Times New Roman" w:cs="Times New Roman"/>
          <w:b/>
          <w:b/>
          <w:bCs/>
          <w:sz w:val="28"/>
          <w:szCs w:val="28"/>
          <w:lang w:val="x-none" w:eastAsia="x-none"/>
        </w:rPr>
      </w:pPr>
      <w:bookmarkStart w:id="3" w:name="_Toc54643122"/>
      <w:bookmarkEnd w:id="3"/>
      <w:r>
        <w:rPr>
          <w:rFonts w:cs="Times New Roman" w:ascii="Times New Roman" w:hAnsi="Times New Roman"/>
          <w:b/>
          <w:bCs/>
          <w:sz w:val="28"/>
          <w:szCs w:val="28"/>
          <w:lang w:val="x-none" w:eastAsia="x-none"/>
        </w:rPr>
        <w:t>1.</w:t>
        <w:tab/>
        <w:t>Общие сведения</w:t>
      </w:r>
    </w:p>
    <w:p>
      <w:pPr>
        <w:pStyle w:val="Normal"/>
        <w:keepNext w:val="true"/>
        <w:numPr>
          <w:ilvl w:val="0"/>
          <w:numId w:val="0"/>
        </w:numPr>
        <w:spacing w:lineRule="auto" w:line="240" w:before="120" w:after="60"/>
        <w:ind w:left="432" w:hanging="432"/>
        <w:jc w:val="both"/>
        <w:outlineLvl w:val="3"/>
        <w:rPr>
          <w:rFonts w:ascii="Times New Roman" w:hAnsi="Times New Roman" w:cs="Times New Roman"/>
          <w:b/>
          <w:b/>
          <w:bCs/>
          <w:sz w:val="24"/>
          <w:szCs w:val="24"/>
          <w:lang w:val="x-none" w:eastAsia="x-none"/>
        </w:rPr>
      </w:pPr>
      <w:bookmarkStart w:id="4" w:name="_Toc54646396"/>
      <w:bookmarkStart w:id="5" w:name="_Toc46743505"/>
      <w:bookmarkStart w:id="6" w:name="_Toc546431221"/>
      <w:bookmarkEnd w:id="6"/>
      <w:r>
        <w:rPr>
          <w:rFonts w:cs="Times New Roman" w:ascii="Times New Roman" w:hAnsi="Times New Roman"/>
          <w:b/>
          <w:bCs/>
          <w:sz w:val="24"/>
          <w:szCs w:val="24"/>
          <w:lang w:eastAsia="x-none"/>
        </w:rPr>
        <w:t xml:space="preserve">1.1. </w:t>
      </w:r>
      <w:r>
        <w:rPr>
          <w:rFonts w:cs="Times New Roman" w:ascii="Times New Roman" w:hAnsi="Times New Roman"/>
          <w:b/>
          <w:bCs/>
          <w:sz w:val="24"/>
          <w:szCs w:val="24"/>
          <w:lang w:val="x-none" w:eastAsia="x-none"/>
        </w:rPr>
        <w:t>Обозначения и сокращения</w:t>
      </w:r>
      <w:bookmarkEnd w:id="4"/>
      <w:bookmarkEnd w:id="5"/>
      <w:r>
        <w:rPr>
          <w:rFonts w:cs="Times New Roman" w:ascii="Times New Roman" w:hAnsi="Times New Roman"/>
          <w:b/>
          <w:bCs/>
          <w:sz w:val="24"/>
          <w:szCs w:val="24"/>
          <w:lang w:eastAsia="x-none"/>
        </w:rPr>
        <w:t xml:space="preserve"> </w:t>
      </w:r>
      <w:r>
        <w:rPr>
          <w:rFonts w:cs="Times New Roman" w:ascii="Times New Roman" w:hAnsi="Times New Roman"/>
          <w:b/>
          <w:bCs/>
          <w:sz w:val="24"/>
          <w:szCs w:val="24"/>
          <w:lang w:val="x-none" w:eastAsia="x-none"/>
        </w:rPr>
        <w:t>в электроэнергетике</w:t>
      </w:r>
    </w:p>
    <w:tbl>
      <w:tblPr>
        <w:tblW w:w="9783" w:type="dxa"/>
        <w:jc w:val="center"/>
        <w:tblInd w:w="0" w:type="dxa"/>
        <w:tblLayout w:type="fixed"/>
        <w:tblCellMar>
          <w:top w:w="0" w:type="dxa"/>
          <w:left w:w="5" w:type="dxa"/>
          <w:bottom w:w="0" w:type="dxa"/>
          <w:right w:w="98" w:type="dxa"/>
        </w:tblCellMar>
        <w:tblLook w:val="04a0" w:noHBand="0" w:noVBand="1" w:firstColumn="1" w:lastRow="0" w:lastColumn="0" w:firstRow="1"/>
      </w:tblPr>
      <w:tblGrid>
        <w:gridCol w:w="1785"/>
        <w:gridCol w:w="7997"/>
      </w:tblGrid>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rStyle w:val="Style25"/>
                <w:bCs/>
                <w:iCs/>
                <w:sz w:val="22"/>
                <w:szCs w:val="22"/>
              </w:rPr>
            </w:pPr>
            <w:r>
              <w:rPr>
                <w:color w:val="2D2D2D"/>
                <w:spacing w:val="2"/>
                <w:sz w:val="22"/>
                <w:szCs w:val="22"/>
                <w:shd w:fill="FFFFFF" w:val="clear"/>
                <w:lang w:val="sah-RU"/>
              </w:rPr>
              <w:t>РФ</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rStyle w:val="Style25"/>
                <w:bCs/>
                <w:i w:val="false"/>
                <w:i w:val="false"/>
                <w:iCs/>
                <w:sz w:val="22"/>
                <w:szCs w:val="22"/>
              </w:rPr>
            </w:pPr>
            <w:r>
              <w:rPr>
                <w:bCs/>
                <w:color w:val="2D2D2D"/>
                <w:spacing w:val="2"/>
                <w:sz w:val="22"/>
                <w:szCs w:val="22"/>
                <w:shd w:fill="FFFFFF" w:val="clear"/>
                <w:lang w:val="sah-RU"/>
              </w:rPr>
              <w:t>Российская Федерация;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КПТ</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кадастровый план территории;</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ЕГРН</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Единый государственный реестр недвижимости</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ПСД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Проектно-сметная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Проектная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рабочая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en-US"/>
              </w:rPr>
            </w:pPr>
            <w:r>
              <w:rPr>
                <w:color w:val="2D2D2D"/>
                <w:spacing w:val="2"/>
                <w:sz w:val="22"/>
                <w:szCs w:val="22"/>
                <w:shd w:fill="FFFFFF" w:val="clear"/>
                <w:lang w:val="sah-RU"/>
              </w:rPr>
              <w:t>ТТ</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технические требования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ТУ</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техническое условия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ВЛ</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воздушная линия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КЛ</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кабельная линия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ЛЭП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линия электропередач</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ПС</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подстанция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Трансформаторная подстанция / трансформаторный 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РТП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распределительный трансформаторный 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ИРД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исходно-разрешительная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НТД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нормативно-техническая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НПА</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нормативно-правовой акт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РЭС</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районные электрические сети</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струтурное подразделение филиала АО “ДРСК”</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ПУЭ</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Правила устройства электроустановок</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ПОТЭЭУ</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Правила по охране турда при эксплуатации электроустановок</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МО</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Муниципальное образование</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ГОСТ</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Государственный стандарт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СПиП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Строительные нормы и правила</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Свод правил</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СРО</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саморегулируемая организация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кВ</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единица измерения напряжения киловольт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кВт</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единица измерения мощности киловатт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ЛСР</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локальный сметный расчет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ЗУ</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земельный участок</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ПУД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правоустанавливающий документ</w:t>
            </w:r>
          </w:p>
        </w:tc>
      </w:tr>
      <w:tr>
        <w:trPr>
          <w:trHeight w:val="281" w:hRule="atLeast"/>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РП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spacing w:lineRule="auto" w:line="240"/>
              <w:ind w:left="-851" w:firstLine="851"/>
              <w:jc w:val="both"/>
              <w:rPr>
                <w:color w:val="2D2D2D"/>
                <w:spacing w:val="2"/>
                <w:sz w:val="22"/>
                <w:szCs w:val="22"/>
                <w:highlight w:val="white"/>
              </w:rPr>
            </w:pPr>
            <w:r>
              <w:rPr>
                <w:sz w:val="22"/>
              </w:rPr>
              <w:t>распределительный</w:t>
            </w:r>
            <w:r>
              <w:rPr/>
              <w:t xml:space="preserve"> </w:t>
            </w:r>
            <w:r>
              <w:rPr>
                <w:sz w:val="22"/>
              </w:rPr>
              <w:t>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ГНБ</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горизонтально-направленное бурение</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АИИС</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автоматизированная информационно-измерительная система</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КУЭ</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коммерческий учёт энергоресурсов</w:t>
            </w:r>
          </w:p>
        </w:tc>
      </w:tr>
    </w:tbl>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1.2. Наименование закупаемых работ.</w:t>
      </w:r>
    </w:p>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jc w:val="both"/>
        <w:rPr>
          <w:rStyle w:val="Strong"/>
          <w:rFonts w:ascii="Times New Roman" w:hAnsi="Times New Roman" w:eastAsia="Times New Roman" w:cs="Times New Roman"/>
          <w:b w:val="false"/>
          <w:b w:val="false"/>
          <w:sz w:val="24"/>
          <w:szCs w:val="24"/>
          <w:lang w:eastAsia="ru-RU"/>
        </w:rPr>
      </w:pPr>
      <w:r>
        <w:rPr>
          <w:rStyle w:val="Strong"/>
          <w:rFonts w:eastAsia="Times New Roman" w:cs="Times New Roman" w:ascii="Times New Roman" w:hAnsi="Times New Roman"/>
          <w:b w:val="false"/>
          <w:sz w:val="24"/>
          <w:szCs w:val="24"/>
          <w:lang w:eastAsia="ru-RU"/>
        </w:rPr>
        <w:t>«ОКДП2 71.12.13 Выполнение проектных работ (в том числе оформление правоустанавливающих документов на землю) по строительству объектов для технологического присоединения к электрическим сетям заявителя ООО «Специализированный застройщик Старк» (Q_25-ПЭС-6183 ПТП) в г. Владивостоке, Приморского края».</w:t>
      </w:r>
    </w:p>
    <w:p>
      <w:pPr>
        <w:pStyle w:val="Normal"/>
        <w:rPr>
          <w:rFonts w:ascii="Times New Roman" w:hAnsi="Times New Roman" w:cs="Times New Roman"/>
        </w:rPr>
      </w:pPr>
      <w:r>
        <w:rPr>
          <w:rStyle w:val="Strong"/>
          <w:rFonts w:cs="Times New Roman" w:ascii="Times New Roman" w:hAnsi="Times New Roman"/>
        </w:rPr>
        <w:t xml:space="preserve">         </w:t>
      </w:r>
      <w:r>
        <w:rPr>
          <w:rStyle w:val="Strong"/>
          <w:rFonts w:cs="Times New Roman" w:ascii="Times New Roman" w:hAnsi="Times New Roman"/>
        </w:rPr>
        <w:t>Заказчик</w:t>
      </w:r>
      <w:r>
        <w:rPr>
          <w:rStyle w:val="Strong"/>
          <w:rFonts w:cs="Times New Roman" w:ascii="Times New Roman" w:hAnsi="Times New Roman"/>
          <w:lang w:val="sah-RU"/>
        </w:rPr>
        <w:t xml:space="preserve"> (подразделение Заказчика): </w:t>
      </w:r>
      <w:r>
        <w:rPr>
          <w:rFonts w:cs="Times New Roman" w:ascii="Times New Roman" w:hAnsi="Times New Roman"/>
        </w:rPr>
        <w:t xml:space="preserve">филиал АО «ДРСК» Приморские электрические сети. </w:t>
      </w:r>
    </w:p>
    <w:p>
      <w:pPr>
        <w:pStyle w:val="NoSpacing"/>
        <w:spacing w:lineRule="auto" w:line="276"/>
        <w:ind w:firstLine="426"/>
        <w:jc w:val="both"/>
        <w:rPr/>
      </w:pPr>
      <w:r>
        <w:rPr/>
        <w:t>Адрес филиала: г. Владивосток, ул. Командорская, 13А.</w:t>
      </w:r>
    </w:p>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jc w:val="both"/>
        <w:rPr/>
      </w:pPr>
      <w:r>
        <w:rPr>
          <w:rFonts w:eastAsia="Times New Roman" w:cs="Times New Roman" w:ascii="Times New Roman" w:hAnsi="Times New Roman"/>
          <w:b/>
          <w:bCs/>
          <w:sz w:val="24"/>
          <w:szCs w:val="24"/>
          <w:lang w:eastAsia="ru-RU"/>
        </w:rPr>
        <w:t>1.3. Цели и задачи.</w:t>
      </w:r>
    </w:p>
    <w:p>
      <w:pPr>
        <w:pStyle w:val="Normal"/>
        <w:spacing w:lineRule="auto" w:line="240" w:before="0" w:after="0"/>
        <w:jc w:val="both"/>
        <w:rPr/>
      </w:pPr>
      <w:r>
        <w:rPr>
          <w:rFonts w:eastAsia="Times New Roman" w:cs="Times New Roman" w:ascii="Times New Roman" w:hAnsi="Times New Roman"/>
          <w:sz w:val="24"/>
          <w:szCs w:val="24"/>
          <w:lang w:eastAsia="ru-RU"/>
        </w:rPr>
        <w:t>1.3.1. Целью выполняемых работ является оформление ПУД, подготовка проектно-сметной документации по строительству объекта технологического присоединения к электрическим сетям АО «ДРСК» в рамках заключенного договора:</w:t>
      </w:r>
    </w:p>
    <w:p>
      <w:pPr>
        <w:pStyle w:val="ListParagraph"/>
        <w:numPr>
          <w:ilvl w:val="0"/>
          <w:numId w:val="4"/>
        </w:numPr>
        <w:ind w:left="360" w:right="-2" w:hanging="360"/>
        <w:jc w:val="both"/>
        <w:rPr/>
      </w:pPr>
      <w:r>
        <w:rPr>
          <w:color w:val="000000" w:themeColor="text1"/>
          <w:sz w:val="24"/>
          <w:szCs w:val="24"/>
        </w:rPr>
        <w:t>Договор № № 372 от 03.09.25 с ООО «Специализированный застройщик Старк» на технологическое присоединение к электрическим сетям АО «ДРСК»</w:t>
      </w:r>
      <w:r>
        <w:rPr/>
        <w:t xml:space="preserve"> </w:t>
      </w:r>
      <w:r>
        <w:rPr>
          <w:color w:val="000000" w:themeColor="text1"/>
          <w:sz w:val="24"/>
          <w:szCs w:val="24"/>
        </w:rPr>
        <w:t>строительство многофункционального апартаментно-жилого комплекса на территории города Владивостока , расположенного по адресу:</w:t>
      </w:r>
      <w:r>
        <w:rPr/>
        <w:t xml:space="preserve"> </w:t>
      </w:r>
      <w:r>
        <w:rPr>
          <w:color w:val="000000" w:themeColor="text1"/>
          <w:sz w:val="24"/>
          <w:szCs w:val="24"/>
        </w:rPr>
        <w:t xml:space="preserve">Приморский край, г. Владивосток, ул. Калинина, в районе д. 111, кадастровый номер: 25:28:030006:7323; </w:t>
      </w:r>
      <w:r>
        <w:rPr>
          <w:color w:val="000000" w:themeColor="text1"/>
          <w:sz w:val="24"/>
          <w:szCs w:val="24"/>
          <w:lang w:val="ru-RU"/>
        </w:rPr>
        <w:t>1</w:t>
      </w:r>
      <w:r>
        <w:rPr>
          <w:color w:val="000000" w:themeColor="text1"/>
          <w:sz w:val="24"/>
          <w:szCs w:val="24"/>
        </w:rPr>
        <w:t>6</w:t>
      </w:r>
      <w:r>
        <w:rPr>
          <w:color w:val="000000" w:themeColor="text1"/>
          <w:sz w:val="24"/>
          <w:szCs w:val="24"/>
          <w:lang w:val="ru-RU"/>
        </w:rPr>
        <w:t>0</w:t>
      </w:r>
      <w:r>
        <w:rPr>
          <w:color w:val="000000" w:themeColor="text1"/>
          <w:sz w:val="24"/>
          <w:szCs w:val="24"/>
        </w:rPr>
        <w:t xml:space="preserve">0 кВт, </w:t>
      </w:r>
      <w:r>
        <w:rPr>
          <w:color w:val="000000" w:themeColor="text1"/>
          <w:sz w:val="24"/>
          <w:szCs w:val="24"/>
          <w:lang w:val="ru-RU"/>
        </w:rPr>
        <w:t>6</w:t>
      </w:r>
      <w:r>
        <w:rPr>
          <w:color w:val="000000" w:themeColor="text1"/>
          <w:sz w:val="24"/>
          <w:szCs w:val="24"/>
        </w:rPr>
        <w:t xml:space="preserve"> кВ.</w:t>
      </w:r>
    </w:p>
    <w:p>
      <w:pPr>
        <w:pStyle w:val="Normal"/>
        <w:spacing w:lineRule="auto" w:line="240" w:before="0" w:after="0"/>
        <w:jc w:val="both"/>
        <w:rPr>
          <w:rFonts w:ascii="Times New Roman" w:hAnsi="Times New Roman" w:eastAsia="Times New Roman" w:cs="Times New Roman"/>
          <w:bCs/>
          <w:sz w:val="24"/>
          <w:szCs w:val="24"/>
          <w:highlight w:val="yellow"/>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Cs/>
          <w:sz w:val="24"/>
          <w:szCs w:val="24"/>
          <w:lang w:eastAsia="ru-RU"/>
        </w:rPr>
        <w:t xml:space="preserve">Таблица 1.  Перечень объектов заказчика    </w:t>
      </w:r>
    </w:p>
    <w:tbl>
      <w:tblPr>
        <w:tblW w:w="10079" w:type="dxa"/>
        <w:jc w:val="left"/>
        <w:tblInd w:w="-31" w:type="dxa"/>
        <w:tblLayout w:type="fixed"/>
        <w:tblCellMar>
          <w:top w:w="0" w:type="dxa"/>
          <w:left w:w="5" w:type="dxa"/>
          <w:bottom w:w="0" w:type="dxa"/>
          <w:right w:w="103" w:type="dxa"/>
        </w:tblCellMar>
        <w:tblLook w:val="0000" w:noHBand="0" w:noVBand="0" w:firstColumn="0" w:lastRow="0" w:lastColumn="0" w:firstRow="0"/>
      </w:tblPr>
      <w:tblGrid>
        <w:gridCol w:w="778"/>
        <w:gridCol w:w="3700"/>
        <w:gridCol w:w="2561"/>
        <w:gridCol w:w="3039"/>
      </w:tblGrid>
      <w:tr>
        <w:trPr>
          <w:trHeight w:val="401" w:hRule="atLeast"/>
        </w:trPr>
        <w:tc>
          <w:tcPr>
            <w:tcW w:w="77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pPr>
            <w:r>
              <w:rPr>
                <w:rFonts w:cs="Times New Roman" w:ascii="Times New Roman" w:hAnsi="Times New Roman"/>
                <w:szCs w:val="24"/>
              </w:rPr>
              <w:t>№</w:t>
            </w:r>
          </w:p>
          <w:p>
            <w:pPr>
              <w:pStyle w:val="Normal"/>
              <w:widowControl w:val="false"/>
              <w:spacing w:before="0" w:after="0"/>
              <w:rPr/>
            </w:pPr>
            <w:r>
              <w:rPr>
                <w:rFonts w:cs="Times New Roman" w:ascii="Times New Roman" w:hAnsi="Times New Roman"/>
                <w:szCs w:val="24"/>
              </w:rPr>
              <w:t>п/п</w:t>
            </w:r>
          </w:p>
        </w:tc>
        <w:tc>
          <w:tcPr>
            <w:tcW w:w="370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pPr>
            <w:r>
              <w:rPr>
                <w:rFonts w:cs="Times New Roman" w:ascii="Times New Roman" w:hAnsi="Times New Roman"/>
                <w:szCs w:val="24"/>
              </w:rPr>
              <w:t xml:space="preserve">Наименование объекта </w:t>
            </w:r>
          </w:p>
          <w:p>
            <w:pPr>
              <w:pStyle w:val="Normal"/>
              <w:widowControl w:val="false"/>
              <w:spacing w:before="0" w:after="0"/>
              <w:jc w:val="center"/>
              <w:rPr>
                <w:rFonts w:ascii="Times New Roman" w:hAnsi="Times New Roman" w:cs="Times New Roman"/>
                <w:szCs w:val="24"/>
              </w:rPr>
            </w:pPr>
            <w:r>
              <w:rPr>
                <w:rFonts w:cs="Times New Roman" w:ascii="Times New Roman" w:hAnsi="Times New Roman"/>
                <w:szCs w:val="24"/>
              </w:rPr>
            </w:r>
          </w:p>
        </w:tc>
        <w:tc>
          <w:tcPr>
            <w:tcW w:w="256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pPr>
            <w:r>
              <w:rPr>
                <w:rFonts w:cs="Times New Roman" w:ascii="Times New Roman" w:hAnsi="Times New Roman"/>
                <w:szCs w:val="24"/>
              </w:rPr>
              <w:t xml:space="preserve">Расположение объекта </w:t>
              <w:br/>
            </w:r>
            <w:r>
              <w:rPr>
                <w:rFonts w:cs="Times New Roman" w:ascii="Times New Roman" w:hAnsi="Times New Roman"/>
                <w:iCs/>
                <w:szCs w:val="24"/>
              </w:rPr>
              <w:t>(место оказания услуг)</w:t>
            </w:r>
            <w:r>
              <w:rPr>
                <w:rFonts w:cs="Times New Roman" w:ascii="Times New Roman" w:hAnsi="Times New Roman"/>
                <w:szCs w:val="24"/>
              </w:rPr>
              <w:t xml:space="preserve"> </w:t>
            </w:r>
          </w:p>
        </w:tc>
        <w:tc>
          <w:tcPr>
            <w:tcW w:w="30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pPr>
            <w:r>
              <w:rPr>
                <w:rFonts w:cs="Times New Roman" w:ascii="Times New Roman" w:hAnsi="Times New Roman"/>
                <w:szCs w:val="24"/>
              </w:rPr>
              <w:t>Примечания</w:t>
            </w:r>
          </w:p>
        </w:tc>
      </w:tr>
      <w:tr>
        <w:trPr>
          <w:trHeight w:val="72" w:hRule="atLeast"/>
        </w:trPr>
        <w:tc>
          <w:tcPr>
            <w:tcW w:w="77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pPr>
            <w:r>
              <w:rPr>
                <w:rFonts w:cs="Times New Roman" w:ascii="Times New Roman" w:hAnsi="Times New Roman"/>
                <w:b/>
                <w:szCs w:val="24"/>
              </w:rPr>
              <w:t>1</w:t>
            </w:r>
          </w:p>
        </w:tc>
        <w:tc>
          <w:tcPr>
            <w:tcW w:w="370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pPr>
            <w:r>
              <w:rPr>
                <w:rFonts w:cs="Times New Roman" w:ascii="Times New Roman" w:hAnsi="Times New Roman"/>
                <w:b/>
                <w:szCs w:val="24"/>
              </w:rPr>
              <w:t>2</w:t>
            </w:r>
          </w:p>
        </w:tc>
        <w:tc>
          <w:tcPr>
            <w:tcW w:w="256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pPr>
            <w:r>
              <w:rPr>
                <w:rFonts w:cs="Times New Roman" w:ascii="Times New Roman" w:hAnsi="Times New Roman"/>
                <w:b/>
                <w:szCs w:val="24"/>
              </w:rPr>
              <w:t>3</w:t>
            </w:r>
          </w:p>
        </w:tc>
        <w:tc>
          <w:tcPr>
            <w:tcW w:w="30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pPr>
            <w:r>
              <w:rPr>
                <w:rFonts w:cs="Times New Roman" w:ascii="Times New Roman" w:hAnsi="Times New Roman"/>
                <w:b/>
                <w:szCs w:val="24"/>
              </w:rPr>
              <w:t>4</w:t>
            </w:r>
          </w:p>
        </w:tc>
      </w:tr>
      <w:tr>
        <w:trPr>
          <w:trHeight w:val="2115" w:hRule="atLeast"/>
        </w:trPr>
        <w:tc>
          <w:tcPr>
            <w:tcW w:w="77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ListParagraph"/>
              <w:widowControl w:val="false"/>
              <w:numPr>
                <w:ilvl w:val="0"/>
                <w:numId w:val="1"/>
              </w:numPr>
              <w:spacing w:before="0" w:after="200"/>
              <w:ind w:left="360" w:hanging="360"/>
              <w:contextualSpacing/>
              <w:rPr>
                <w:rFonts w:ascii="Calibri" w:hAnsi="Calibri" w:eastAsia="Calibri" w:cs="" w:asciiTheme="minorHAnsi" w:cstheme="minorBidi" w:eastAsiaTheme="minorHAnsi" w:hAnsiTheme="minorHAnsi"/>
                <w:sz w:val="22"/>
                <w:szCs w:val="24"/>
              </w:rPr>
            </w:pPr>
            <w:r>
              <w:rPr>
                <w:rFonts w:eastAsia="Calibri" w:cs="" w:cstheme="minorBidi" w:eastAsiaTheme="minorHAnsi" w:ascii="Calibri" w:hAnsi="Calibri"/>
                <w:sz w:val="22"/>
                <w:szCs w:val="24"/>
              </w:rPr>
            </w:r>
          </w:p>
        </w:tc>
        <w:tc>
          <w:tcPr>
            <w:tcW w:w="370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rPr/>
            </w:pPr>
            <w:r>
              <w:rPr>
                <w:rFonts w:cs="Times New Roman" w:ascii="Times New Roman" w:hAnsi="Times New Roman"/>
                <w:b/>
                <w:iCs/>
                <w:szCs w:val="24"/>
                <w:lang w:val="x-none"/>
              </w:rPr>
              <w:t xml:space="preserve">Реконструкция </w:t>
            </w:r>
            <w:r>
              <w:rPr>
                <w:rFonts w:cs="Times New Roman" w:ascii="Times New Roman" w:hAnsi="Times New Roman"/>
                <w:b/>
                <w:iCs/>
                <w:szCs w:val="24"/>
              </w:rPr>
              <w:t xml:space="preserve">РУ 6 кВ </w:t>
            </w:r>
          </w:p>
          <w:p>
            <w:pPr>
              <w:pStyle w:val="Normal"/>
              <w:widowControl w:val="false"/>
              <w:spacing w:lineRule="auto" w:line="240" w:before="0" w:after="0"/>
              <w:rPr/>
            </w:pPr>
            <w:r>
              <w:rPr>
                <w:rFonts w:cs="Times New Roman" w:ascii="Times New Roman" w:hAnsi="Times New Roman"/>
                <w:iCs/>
                <w:szCs w:val="24"/>
                <w:lang w:val="x-none"/>
              </w:rPr>
              <w:t>Реконструкция</w:t>
            </w:r>
            <w:r>
              <w:rPr>
                <w:rFonts w:cs="Times New Roman" w:ascii="Times New Roman" w:hAnsi="Times New Roman"/>
                <w:iCs/>
                <w:szCs w:val="24"/>
              </w:rPr>
              <w:t xml:space="preserve"> РУ 6 кВ ПС 110 кВ Чуркин с монтажом дополнительной линейной ячейки 6 кВ с установкой вакуумного выключателя 6 кВ , монтаж трансформаторов тока в устанавливаемой линейной ячейке 6 кВ</w:t>
            </w:r>
            <w:r>
              <w:rPr>
                <w:rFonts w:cs="Times New Roman" w:ascii="Times New Roman" w:hAnsi="Times New Roman"/>
                <w:iCs/>
                <w:szCs w:val="24"/>
                <w:lang w:val="x-none"/>
              </w:rPr>
              <w:t xml:space="preserve">  (для заявителя </w:t>
            </w:r>
            <w:r>
              <w:rPr>
                <w:rFonts w:cs="Times New Roman" w:ascii="Times New Roman" w:hAnsi="Times New Roman"/>
                <w:iCs/>
                <w:szCs w:val="24"/>
              </w:rPr>
              <w:t>ООО «Специализированный застройщик Старк»</w:t>
            </w:r>
            <w:r>
              <w:rPr>
                <w:rFonts w:cs="Times New Roman" w:ascii="Times New Roman" w:hAnsi="Times New Roman"/>
                <w:iCs/>
                <w:szCs w:val="24"/>
                <w:lang w:val="x-none"/>
              </w:rPr>
              <w:t>)</w:t>
            </w:r>
          </w:p>
        </w:tc>
        <w:tc>
          <w:tcPr>
            <w:tcW w:w="2561"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pPr>
            <w:r>
              <w:rPr>
                <w:rFonts w:cs="Times New Roman" w:ascii="Times New Roman" w:hAnsi="Times New Roman"/>
                <w:szCs w:val="24"/>
              </w:rPr>
              <w:t>Приморский край, г. Владивосток</w:t>
            </w:r>
          </w:p>
        </w:tc>
        <w:tc>
          <w:tcPr>
            <w:tcW w:w="303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pPr>
            <w:r>
              <w:rPr>
                <w:rFonts w:cs="Times New Roman" w:ascii="Times New Roman" w:hAnsi="Times New Roman"/>
                <w:i/>
                <w:iCs/>
                <w:szCs w:val="24"/>
              </w:rPr>
              <w:t>Характеристику оборудования уточнить при проектировании и согласовать с заказчиком</w:t>
            </w:r>
          </w:p>
        </w:tc>
      </w:tr>
      <w:tr>
        <w:trPr>
          <w:trHeight w:val="2115" w:hRule="atLeast"/>
        </w:trPr>
        <w:tc>
          <w:tcPr>
            <w:tcW w:w="77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ListParagraph"/>
              <w:widowControl w:val="false"/>
              <w:numPr>
                <w:ilvl w:val="0"/>
                <w:numId w:val="1"/>
              </w:numPr>
              <w:spacing w:before="0" w:after="200"/>
              <w:ind w:left="360" w:hanging="360"/>
              <w:contextualSpacing/>
              <w:rPr>
                <w:rFonts w:ascii="Calibri" w:hAnsi="Calibri" w:eastAsia="Calibri" w:cs="" w:asciiTheme="minorHAnsi" w:cstheme="minorBidi" w:eastAsiaTheme="minorHAnsi" w:hAnsiTheme="minorHAnsi"/>
                <w:sz w:val="22"/>
                <w:szCs w:val="24"/>
              </w:rPr>
            </w:pPr>
            <w:r>
              <w:rPr>
                <w:rFonts w:eastAsia="Calibri" w:cs="" w:cstheme="minorBidi" w:eastAsiaTheme="minorHAnsi" w:ascii="Calibri" w:hAnsi="Calibri"/>
                <w:sz w:val="22"/>
                <w:szCs w:val="24"/>
              </w:rPr>
            </w:r>
          </w:p>
        </w:tc>
        <w:tc>
          <w:tcPr>
            <w:tcW w:w="370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rPr/>
            </w:pPr>
            <w:r>
              <w:rPr>
                <w:rFonts w:cs="Times New Roman" w:ascii="Times New Roman" w:hAnsi="Times New Roman"/>
                <w:b/>
                <w:iCs/>
                <w:szCs w:val="24"/>
                <w:lang w:val="x-none"/>
              </w:rPr>
              <w:t xml:space="preserve">Строительство ЛЭП </w:t>
            </w:r>
            <w:r>
              <w:rPr>
                <w:rFonts w:cs="Times New Roman" w:ascii="Times New Roman" w:hAnsi="Times New Roman"/>
                <w:b/>
                <w:iCs/>
                <w:szCs w:val="24"/>
              </w:rPr>
              <w:t>6</w:t>
            </w:r>
            <w:r>
              <w:rPr>
                <w:rFonts w:cs="Times New Roman" w:ascii="Times New Roman" w:hAnsi="Times New Roman"/>
                <w:b/>
                <w:iCs/>
                <w:szCs w:val="24"/>
                <w:lang w:val="x-none"/>
              </w:rPr>
              <w:t xml:space="preserve"> кВ</w:t>
            </w:r>
          </w:p>
          <w:p>
            <w:pPr>
              <w:pStyle w:val="Normal"/>
              <w:widowControl w:val="false"/>
              <w:spacing w:lineRule="auto" w:line="240" w:before="0" w:after="0"/>
              <w:rPr/>
            </w:pPr>
            <w:r>
              <w:rPr>
                <w:rFonts w:cs="Times New Roman" w:ascii="Times New Roman" w:hAnsi="Times New Roman"/>
                <w:iCs/>
                <w:szCs w:val="24"/>
                <w:lang w:val="x-none"/>
              </w:rPr>
              <w:t xml:space="preserve">Строительство КЛ </w:t>
            </w:r>
            <w:r>
              <w:rPr>
                <w:rFonts w:cs="Times New Roman" w:ascii="Times New Roman" w:hAnsi="Times New Roman"/>
                <w:iCs/>
                <w:szCs w:val="24"/>
              </w:rPr>
              <w:t>6 кВ</w:t>
            </w:r>
            <w:r>
              <w:rPr>
                <w:rFonts w:cs="Times New Roman" w:ascii="Times New Roman" w:hAnsi="Times New Roman"/>
                <w:iCs/>
                <w:szCs w:val="24"/>
                <w:lang w:val="x-none"/>
              </w:rPr>
              <w:t xml:space="preserve"> кВ от </w:t>
            </w:r>
            <w:r>
              <w:rPr>
                <w:rFonts w:cs="Times New Roman" w:ascii="Times New Roman" w:hAnsi="Times New Roman"/>
                <w:iCs/>
                <w:szCs w:val="24"/>
              </w:rPr>
              <w:t xml:space="preserve">от вновь устанавливаемой линейной ячейки 6 кВ РУ 6 кВ ПС 110 кВ Чуркин до границы земельного участка заявителя, с выходом на опору 6 кВ </w:t>
            </w:r>
            <w:r>
              <w:rPr>
                <w:rFonts w:cs="Times New Roman" w:ascii="Times New Roman" w:hAnsi="Times New Roman"/>
                <w:iCs/>
                <w:szCs w:val="24"/>
                <w:highlight w:val="white"/>
                <w:lang w:val="x-none"/>
              </w:rPr>
              <w:t>(в том числе ГНБ</w:t>
            </w:r>
            <w:r>
              <w:rPr>
                <w:rFonts w:cs="Times New Roman" w:ascii="Times New Roman" w:hAnsi="Times New Roman"/>
                <w:iCs/>
                <w:szCs w:val="24"/>
              </w:rPr>
              <w:t>)</w:t>
              <w:br/>
              <w:t xml:space="preserve"> </w:t>
            </w:r>
            <w:r>
              <w:rPr>
                <w:rFonts w:cs="Times New Roman" w:ascii="Times New Roman" w:hAnsi="Times New Roman"/>
                <w:iCs/>
                <w:szCs w:val="24"/>
                <w:lang w:val="x-none"/>
              </w:rPr>
              <w:t xml:space="preserve">(для заявителя </w:t>
            </w:r>
            <w:r>
              <w:rPr>
                <w:rFonts w:cs="Times New Roman" w:ascii="Times New Roman" w:hAnsi="Times New Roman"/>
                <w:iCs/>
                <w:szCs w:val="24"/>
              </w:rPr>
              <w:t>ООО «Специализированный застройщик Старк»</w:t>
            </w:r>
            <w:r>
              <w:rPr>
                <w:rFonts w:cs="Times New Roman" w:ascii="Times New Roman" w:hAnsi="Times New Roman"/>
                <w:iCs/>
                <w:szCs w:val="24"/>
                <w:lang w:val="x-none"/>
              </w:rPr>
              <w:t>)</w:t>
            </w:r>
          </w:p>
        </w:tc>
        <w:tc>
          <w:tcPr>
            <w:tcW w:w="2561"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pPr>
            <w:r>
              <w:rPr/>
            </w:r>
          </w:p>
        </w:tc>
        <w:tc>
          <w:tcPr>
            <w:tcW w:w="303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pPr>
            <w:r>
              <w:rPr>
                <w:rFonts w:cs="Times New Roman" w:ascii="Times New Roman" w:hAnsi="Times New Roman"/>
                <w:i/>
                <w:iCs/>
                <w:szCs w:val="24"/>
              </w:rPr>
              <w:t>Протяженность ЛЭП, марку  и сечения, уточнить при проектировании и согласовать с заказчиком</w:t>
            </w:r>
          </w:p>
        </w:tc>
      </w:tr>
    </w:tbl>
    <w:p>
      <w:pPr>
        <w:pStyle w:val="Normal"/>
        <w:spacing w:lineRule="auto" w:line="240" w:before="0" w:after="0"/>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center"/>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t>2. Требования к продукции</w:t>
      </w:r>
    </w:p>
    <w:p>
      <w:pPr>
        <w:pStyle w:val="Normal"/>
        <w:spacing w:lineRule="auto" w:line="240" w:before="0" w:after="0"/>
        <w:jc w:val="both"/>
        <w:rPr>
          <w:rFonts w:ascii="Times New Roman" w:hAnsi="Times New Roman" w:eastAsia="Times New Roman" w:cs="Times New Roman"/>
          <w:b/>
          <w:b/>
          <w:bCs/>
          <w:sz w:val="24"/>
          <w:szCs w:val="24"/>
          <w:lang w:val="x-none" w:eastAsia="ru-RU"/>
        </w:rPr>
      </w:pPr>
      <w:r>
        <w:rPr>
          <w:rFonts w:eastAsia="Times New Roman" w:cs="Times New Roman" w:ascii="Times New Roman" w:hAnsi="Times New Roman"/>
          <w:b/>
          <w:bCs/>
          <w:sz w:val="24"/>
          <w:szCs w:val="24"/>
          <w:lang w:eastAsia="ru-RU"/>
        </w:rPr>
        <w:t xml:space="preserve">2.1.  </w:t>
      </w:r>
      <w:bookmarkStart w:id="7" w:name="_Toc54646404"/>
      <w:r>
        <w:rPr>
          <w:rFonts w:eastAsia="Times New Roman" w:cs="Times New Roman" w:ascii="Times New Roman" w:hAnsi="Times New Roman"/>
          <w:b/>
          <w:bCs/>
          <w:sz w:val="24"/>
          <w:szCs w:val="24"/>
          <w:lang w:val="x-none" w:eastAsia="ru-RU"/>
        </w:rPr>
        <w:t xml:space="preserve">Требования к объемам и срокам </w:t>
      </w:r>
      <w:bookmarkEnd w:id="7"/>
      <w:r>
        <w:rPr>
          <w:rFonts w:eastAsia="Times New Roman" w:cs="Times New Roman" w:ascii="Times New Roman" w:hAnsi="Times New Roman"/>
          <w:b/>
          <w:bCs/>
          <w:sz w:val="24"/>
          <w:szCs w:val="24"/>
          <w:lang w:eastAsia="ru-RU"/>
        </w:rPr>
        <w:t>выполнения работ</w:t>
      </w:r>
    </w:p>
    <w:p>
      <w:pPr>
        <w:pStyle w:val="Normal"/>
        <w:spacing w:lineRule="auto" w:line="240" w:before="0" w:after="120"/>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2.1.1. Требования к видам и объемам работ</w:t>
      </w:r>
    </w:p>
    <w:p>
      <w:pPr>
        <w:pStyle w:val="Normal"/>
        <w:keepNext w:val="true"/>
        <w:keepLines/>
        <w:numPr>
          <w:ilvl w:val="0"/>
          <w:numId w:val="0"/>
        </w:numPr>
        <w:spacing w:lineRule="auto" w:line="240" w:before="240" w:after="0"/>
        <w:ind w:left="0" w:hanging="0"/>
        <w:outlineLvl w:val="0"/>
        <w:rPr>
          <w:rFonts w:ascii="Times New Roman" w:hAnsi="Times New Roman" w:cs="Times New Roman"/>
          <w:sz w:val="24"/>
          <w:szCs w:val="24"/>
          <w:lang w:eastAsia="x-none"/>
        </w:rPr>
      </w:pPr>
      <w:bookmarkStart w:id="8" w:name="_Toc54646406"/>
      <w:bookmarkStart w:id="9" w:name="_Toc51339695"/>
      <w:r>
        <w:rPr>
          <w:rFonts w:cs="Times New Roman" w:ascii="Times New Roman" w:hAnsi="Times New Roman"/>
          <w:sz w:val="24"/>
          <w:szCs w:val="24"/>
          <w:lang w:val="x-none" w:eastAsia="x-none"/>
        </w:rPr>
        <w:t xml:space="preserve">Таблица </w:t>
      </w:r>
      <w:r>
        <w:rPr>
          <w:rFonts w:cs="Times New Roman" w:ascii="Times New Roman" w:hAnsi="Times New Roman"/>
          <w:sz w:val="24"/>
          <w:szCs w:val="24"/>
          <w:lang w:eastAsia="x-none"/>
        </w:rPr>
        <w:t>2.</w:t>
      </w:r>
      <w:r>
        <w:rPr>
          <w:rFonts w:cs="Times New Roman" w:ascii="Times New Roman" w:hAnsi="Times New Roman"/>
          <w:sz w:val="24"/>
          <w:szCs w:val="24"/>
          <w:lang w:val="x-none" w:eastAsia="x-none"/>
        </w:rPr>
        <w:t xml:space="preserve"> </w:t>
      </w:r>
      <w:r>
        <w:rPr>
          <w:rFonts w:cs="Times New Roman" w:ascii="Times New Roman" w:hAnsi="Times New Roman"/>
          <w:sz w:val="24"/>
          <w:szCs w:val="24"/>
          <w:lang w:eastAsia="x-none"/>
        </w:rPr>
        <w:t xml:space="preserve">  Перечень </w:t>
      </w:r>
      <w:bookmarkEnd w:id="8"/>
      <w:bookmarkEnd w:id="9"/>
      <w:r>
        <w:rPr>
          <w:rFonts w:cs="Times New Roman" w:ascii="Times New Roman" w:hAnsi="Times New Roman"/>
          <w:sz w:val="24"/>
          <w:szCs w:val="24"/>
          <w:lang w:eastAsia="x-none"/>
        </w:rPr>
        <w:t>и объем выполняемых работ</w:t>
      </w:r>
      <w:r>
        <w:br w:type="page"/>
      </w:r>
    </w:p>
    <w:tbl>
      <w:tblPr>
        <w:tblW w:w="9637" w:type="dxa"/>
        <w:jc w:val="left"/>
        <w:tblInd w:w="-3" w:type="dxa"/>
        <w:tblLayout w:type="fixed"/>
        <w:tblCellMar>
          <w:top w:w="0" w:type="dxa"/>
          <w:left w:w="5" w:type="dxa"/>
          <w:bottom w:w="0" w:type="dxa"/>
          <w:right w:w="98" w:type="dxa"/>
        </w:tblCellMar>
        <w:tblLook w:val="0000" w:noHBand="0" w:noVBand="0" w:firstColumn="0" w:lastRow="0" w:lastColumn="0" w:firstRow="0"/>
      </w:tblPr>
      <w:tblGrid>
        <w:gridCol w:w="734"/>
        <w:gridCol w:w="5134"/>
        <w:gridCol w:w="2272"/>
        <w:gridCol w:w="1496"/>
      </w:tblGrid>
      <w:tr>
        <w:trPr/>
        <w:tc>
          <w:tcPr>
            <w:tcW w:w="73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pageBreakBefore/>
              <w:widowControl w:val="false"/>
              <w:jc w:val="center"/>
              <w:rPr>
                <w:rFonts w:ascii="Times New Roman" w:hAnsi="Times New Roman" w:cs="Times New Roman"/>
                <w:sz w:val="24"/>
                <w:szCs w:val="24"/>
              </w:rPr>
            </w:pPr>
            <w:r>
              <w:rPr>
                <w:rFonts w:cs="Times New Roman" w:ascii="Times New Roman" w:hAnsi="Times New Roman"/>
                <w:sz w:val="24"/>
                <w:szCs w:val="24"/>
              </w:rPr>
              <w:t>№</w:t>
            </w:r>
          </w:p>
          <w:p>
            <w:pPr>
              <w:pStyle w:val="Normal"/>
              <w:keepNext w:val="true"/>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rPr>
              <w:t>п/п</w:t>
            </w:r>
          </w:p>
        </w:tc>
        <w:tc>
          <w:tcPr>
            <w:tcW w:w="513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rPr>
              <w:t>Наименование работ / этапа работ</w:t>
            </w:r>
          </w:p>
        </w:tc>
        <w:tc>
          <w:tcPr>
            <w:tcW w:w="22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rPr>
              <w:t>Единица измерения</w:t>
            </w:r>
          </w:p>
        </w:tc>
        <w:tc>
          <w:tcPr>
            <w:tcW w:w="149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rPr>
              <w:t>Количество</w:t>
            </w:r>
          </w:p>
        </w:tc>
      </w:tr>
      <w:tr>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b/>
                <w:b/>
                <w:sz w:val="24"/>
                <w:szCs w:val="24"/>
              </w:rPr>
            </w:pPr>
            <w:r>
              <w:rPr>
                <w:rFonts w:cs="Times New Roman" w:ascii="Times New Roman" w:hAnsi="Times New Roman"/>
                <w:b/>
                <w:sz w:val="24"/>
                <w:szCs w:val="24"/>
              </w:rPr>
              <w:t>1</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b/>
                <w:b/>
                <w:sz w:val="24"/>
                <w:szCs w:val="24"/>
              </w:rPr>
            </w:pPr>
            <w:r>
              <w:rPr>
                <w:rFonts w:cs="Times New Roman" w:ascii="Times New Roman" w:hAnsi="Times New Roman"/>
                <w:b/>
                <w:sz w:val="24"/>
                <w:szCs w:val="24"/>
              </w:rPr>
              <w:t>2</w:t>
            </w:r>
          </w:p>
        </w:tc>
        <w:tc>
          <w:tcPr>
            <w:tcW w:w="227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b/>
                <w:b/>
                <w:sz w:val="24"/>
                <w:szCs w:val="24"/>
              </w:rPr>
            </w:pPr>
            <w:r>
              <w:rPr>
                <w:rFonts w:cs="Times New Roman" w:ascii="Times New Roman" w:hAnsi="Times New Roman"/>
                <w:b/>
                <w:sz w:val="24"/>
                <w:szCs w:val="24"/>
              </w:rPr>
              <w:t>3</w:t>
            </w:r>
          </w:p>
        </w:tc>
        <w:tc>
          <w:tcPr>
            <w:tcW w:w="149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b/>
                <w:b/>
                <w:sz w:val="24"/>
                <w:szCs w:val="24"/>
              </w:rPr>
            </w:pPr>
            <w:r>
              <w:rPr>
                <w:rFonts w:cs="Times New Roman" w:ascii="Times New Roman" w:hAnsi="Times New Roman"/>
                <w:b/>
                <w:sz w:val="24"/>
                <w:szCs w:val="24"/>
              </w:rPr>
              <w:t>4</w:t>
            </w:r>
          </w:p>
        </w:tc>
      </w:tr>
      <w:tr>
        <w:trPr>
          <w:trHeight w:val="761" w:hRule="atLeast"/>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b/>
                <w:b/>
                <w:sz w:val="24"/>
                <w:szCs w:val="24"/>
              </w:rPr>
            </w:pPr>
            <w:r>
              <w:rPr>
                <w:rFonts w:cs="Times New Roman" w:ascii="Times New Roman" w:hAnsi="Times New Roman"/>
                <w:b/>
                <w:sz w:val="24"/>
                <w:szCs w:val="24"/>
                <w:lang w:val="en-US"/>
              </w:rPr>
              <w:t>1</w:t>
            </w:r>
            <w:r>
              <w:rPr>
                <w:rFonts w:cs="Times New Roman" w:ascii="Times New Roman" w:hAnsi="Times New Roman"/>
                <w:b/>
                <w:sz w:val="24"/>
                <w:szCs w:val="24"/>
              </w:rPr>
              <w:t>.</w:t>
            </w:r>
          </w:p>
        </w:tc>
        <w:tc>
          <w:tcPr>
            <w:tcW w:w="8902" w:type="dxa"/>
            <w:gridSpan w:val="3"/>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rPr>
                <w:rFonts w:ascii="Times New Roman" w:hAnsi="Times New Roman" w:cs="Times New Roman"/>
                <w:b/>
                <w:b/>
                <w:i/>
                <w:i/>
                <w:sz w:val="24"/>
                <w:szCs w:val="24"/>
              </w:rPr>
            </w:pPr>
            <w:r>
              <w:rPr>
                <w:rFonts w:cs="Times New Roman" w:ascii="Times New Roman" w:hAnsi="Times New Roman"/>
                <w:b/>
                <w:sz w:val="24"/>
                <w:szCs w:val="24"/>
              </w:rPr>
              <w:t>ОФОРМЛЕНИЕ ПРАВОУСТАНАВЛИВАЮЩИХ ДОКУМЕНТОВ НА ИСПОЛЬЗОВАНИЕ ЗЕМЕЛЬНЫХ УЧАСТКОВ</w:t>
            </w:r>
          </w:p>
        </w:tc>
      </w:tr>
      <w:tr>
        <w:trPr>
          <w:trHeight w:val="195" w:hRule="atLeast"/>
        </w:trPr>
        <w:tc>
          <w:tcPr>
            <w:tcW w:w="734"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.1.</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rPr>
                <w:rStyle w:val="Style25"/>
                <w:rFonts w:ascii="Times New Roman" w:hAnsi="Times New Roman" w:cs="Times New Roman"/>
                <w:iCs/>
                <w:sz w:val="24"/>
                <w:szCs w:val="24"/>
              </w:rPr>
            </w:pPr>
            <w:r>
              <w:rPr>
                <w:rFonts w:cs="Times New Roman" w:ascii="Times New Roman" w:hAnsi="Times New Roman"/>
                <w:sz w:val="24"/>
                <w:szCs w:val="24"/>
              </w:rPr>
              <w:t xml:space="preserve">Выезд с представителем АО «ДРСК» на предполагаемое </w:t>
            </w:r>
          </w:p>
        </w:tc>
        <w:tc>
          <w:tcPr>
            <w:tcW w:w="2272"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t>Выезд</w:t>
            </w:r>
          </w:p>
        </w:tc>
        <w:tc>
          <w:tcPr>
            <w:tcW w:w="1496"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t>В полном объеме для каждого объекта таблицы 1</w:t>
            </w:r>
          </w:p>
        </w:tc>
      </w:tr>
      <w:tr>
        <w:trPr>
          <w:trHeight w:val="645" w:hRule="atLeast"/>
        </w:trPr>
        <w:tc>
          <w:tcPr>
            <w:tcW w:w="73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rPr>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rPr>
                <w:rFonts w:ascii="Times New Roman" w:hAnsi="Times New Roman" w:cs="Times New Roman"/>
                <w:sz w:val="24"/>
                <w:szCs w:val="24"/>
              </w:rPr>
            </w:pPr>
            <w:r>
              <w:rPr>
                <w:rFonts w:cs="Times New Roman" w:ascii="Times New Roman" w:hAnsi="Times New Roman"/>
                <w:sz w:val="24"/>
                <w:szCs w:val="24"/>
              </w:rPr>
              <w:t>место строительства, для определения трассы объекта;</w:t>
            </w:r>
          </w:p>
        </w:tc>
        <w:tc>
          <w:tcPr>
            <w:tcW w:w="2272"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c>
          <w:tcPr>
            <w:tcW w:w="1496"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rPr>
              <w:t>1.2.</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08"/>
                <w:tab w:val="left" w:pos="633" w:leader="none"/>
              </w:tabs>
              <w:spacing w:before="0" w:after="200"/>
              <w:ind w:right="-16" w:hanging="0"/>
              <w:jc w:val="both"/>
              <w:rPr>
                <w:rStyle w:val="Style25"/>
                <w:rFonts w:ascii="Times New Roman" w:hAnsi="Times New Roman" w:cs="Times New Roman"/>
                <w:iCs/>
                <w:sz w:val="24"/>
                <w:szCs w:val="24"/>
              </w:rPr>
            </w:pPr>
            <w:r>
              <w:rPr>
                <w:rFonts w:cs="Times New Roman" w:ascii="Times New Roman" w:hAnsi="Times New Roman"/>
                <w:sz w:val="24"/>
                <w:szCs w:val="24"/>
              </w:rPr>
              <w:t>На основании предварительно выбранного варианта прохождения трассы, получить сведений из Единого государственного реестра недвижимости (ЕГРН) в виде кадастрового плана территорий (КПТ) и (или) выписки об основных характеристиках и зарегистрированных правах на объект недвижимости;</w:t>
            </w:r>
          </w:p>
        </w:tc>
        <w:tc>
          <w:tcPr>
            <w:tcW w:w="22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rFonts w:ascii="Times New Roman" w:hAnsi="Times New Roman" w:cs="Times New Roman"/>
                <w:i/>
                <w:i/>
                <w:sz w:val="24"/>
                <w:szCs w:val="24"/>
              </w:rPr>
            </w:pPr>
            <w:r>
              <w:rPr>
                <w:rFonts w:cs="Times New Roman" w:ascii="Times New Roman" w:hAnsi="Times New Roman"/>
                <w:i/>
                <w:sz w:val="24"/>
                <w:szCs w:val="24"/>
              </w:rPr>
              <w:t>Сведения</w:t>
            </w:r>
          </w:p>
          <w:p>
            <w:pPr>
              <w:pStyle w:val="Normal"/>
              <w:widowControl w:val="false"/>
              <w:jc w:val="center"/>
              <w:rPr>
                <w:rFonts w:ascii="Times New Roman" w:hAnsi="Times New Roman" w:cs="Times New Roman"/>
                <w:i/>
                <w:i/>
                <w:sz w:val="24"/>
                <w:szCs w:val="24"/>
              </w:rPr>
            </w:pPr>
            <w:r>
              <w:rPr>
                <w:rFonts w:cs="Times New Roman" w:ascii="Times New Roman" w:hAnsi="Times New Roman"/>
                <w:i/>
                <w:sz w:val="24"/>
                <w:szCs w:val="24"/>
              </w:rPr>
              <w:t>КПТ,</w:t>
            </w:r>
          </w:p>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t>выписка из ЕГРН</w:t>
            </w:r>
          </w:p>
        </w:tc>
        <w:tc>
          <w:tcPr>
            <w:tcW w:w="1496"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.3.</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08"/>
                <w:tab w:val="left" w:pos="567" w:leader="none"/>
              </w:tabs>
              <w:ind w:right="-16" w:hanging="0"/>
              <w:jc w:val="both"/>
              <w:rPr>
                <w:rFonts w:ascii="Times New Roman" w:hAnsi="Times New Roman" w:cs="Times New Roman"/>
                <w:sz w:val="24"/>
                <w:szCs w:val="24"/>
              </w:rPr>
            </w:pPr>
            <w:r>
              <w:rPr>
                <w:rFonts w:cs="Times New Roman" w:ascii="Times New Roman" w:hAnsi="Times New Roman"/>
                <w:sz w:val="24"/>
                <w:szCs w:val="24"/>
              </w:rPr>
              <w:t>Подготовить и направить на согласование Заказчику схему обзорного плана объекта. Заказчик согласовывает план трассы, а также определяет правовой титул оформления правоустанавливающих документов на использование земельных участков.</w:t>
            </w:r>
          </w:p>
          <w:p>
            <w:pPr>
              <w:pStyle w:val="Normal"/>
              <w:widowControl w:val="false"/>
              <w:tabs>
                <w:tab w:val="clear" w:pos="708"/>
                <w:tab w:val="left" w:pos="633" w:leader="none"/>
              </w:tabs>
              <w:spacing w:before="0" w:after="200"/>
              <w:ind w:right="-16" w:hanging="0"/>
              <w:jc w:val="both"/>
              <w:rPr>
                <w:rFonts w:ascii="Times New Roman" w:hAnsi="Times New Roman" w:cs="Times New Roman"/>
                <w:sz w:val="24"/>
                <w:szCs w:val="24"/>
              </w:rPr>
            </w:pPr>
            <w:r>
              <w:rPr>
                <w:rFonts w:cs="Times New Roman" w:ascii="Times New Roman" w:hAnsi="Times New Roman"/>
                <w:sz w:val="24"/>
                <w:szCs w:val="24"/>
              </w:rPr>
            </w:r>
          </w:p>
        </w:tc>
        <w:tc>
          <w:tcPr>
            <w:tcW w:w="22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t>Обзорный план трассы на кадастровом плане территории</w:t>
            </w:r>
          </w:p>
        </w:tc>
        <w:tc>
          <w:tcPr>
            <w:tcW w:w="1496"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.4.</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08"/>
                <w:tab w:val="left" w:pos="993" w:leader="none"/>
              </w:tabs>
              <w:ind w:right="-16" w:hanging="0"/>
              <w:jc w:val="both"/>
              <w:rPr>
                <w:rFonts w:ascii="Times New Roman" w:hAnsi="Times New Roman" w:cs="Times New Roman"/>
                <w:sz w:val="24"/>
                <w:szCs w:val="24"/>
              </w:rPr>
            </w:pPr>
            <w:r>
              <w:rPr>
                <w:rFonts w:cs="Times New Roman" w:ascii="Times New Roman" w:hAnsi="Times New Roman"/>
                <w:sz w:val="24"/>
                <w:szCs w:val="24"/>
              </w:rPr>
              <w:t>Совместно с Заказчиком согласовать место размещения объекта с организациями - сетедержателями;</w:t>
            </w:r>
          </w:p>
          <w:p>
            <w:pPr>
              <w:pStyle w:val="Normal"/>
              <w:widowControl w:val="false"/>
              <w:tabs>
                <w:tab w:val="clear" w:pos="708"/>
                <w:tab w:val="left" w:pos="567" w:leader="none"/>
              </w:tabs>
              <w:spacing w:before="0" w:after="200"/>
              <w:ind w:right="-16" w:hanging="0"/>
              <w:jc w:val="both"/>
              <w:rPr>
                <w:rFonts w:ascii="Times New Roman" w:hAnsi="Times New Roman" w:cs="Times New Roman"/>
                <w:sz w:val="24"/>
                <w:szCs w:val="24"/>
              </w:rPr>
            </w:pPr>
            <w:r>
              <w:rPr>
                <w:rFonts w:cs="Times New Roman" w:ascii="Times New Roman" w:hAnsi="Times New Roman"/>
                <w:sz w:val="24"/>
                <w:szCs w:val="24"/>
              </w:rPr>
            </w:r>
          </w:p>
        </w:tc>
        <w:tc>
          <w:tcPr>
            <w:tcW w:w="22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t>Согласование (технические условия на пересечения)</w:t>
            </w:r>
          </w:p>
        </w:tc>
        <w:tc>
          <w:tcPr>
            <w:tcW w:w="1496"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rHeight w:val="1408" w:hRule="atLeast"/>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.5.</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08"/>
                <w:tab w:val="left" w:pos="993" w:leader="none"/>
              </w:tabs>
              <w:ind w:right="-16" w:hanging="0"/>
              <w:jc w:val="both"/>
              <w:rPr>
                <w:rFonts w:ascii="Times New Roman" w:hAnsi="Times New Roman" w:cs="Times New Roman"/>
                <w:sz w:val="24"/>
                <w:szCs w:val="24"/>
              </w:rPr>
            </w:pPr>
            <w:r>
              <w:rPr>
                <w:rFonts w:cs="Times New Roman" w:ascii="Times New Roman" w:hAnsi="Times New Roman"/>
                <w:sz w:val="24"/>
                <w:szCs w:val="24"/>
              </w:rPr>
              <w:t>В случае, прохождения трассы объекта строительства, по землям или земельным участкам, находящимся в государственной или муниципальной собственности, без прав третьих лиц,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МСК-25).</w:t>
            </w:r>
          </w:p>
          <w:p>
            <w:pPr>
              <w:pStyle w:val="Normal"/>
              <w:widowControl w:val="false"/>
              <w:tabs>
                <w:tab w:val="clear" w:pos="708"/>
                <w:tab w:val="left" w:pos="3318" w:leader="none"/>
              </w:tabs>
              <w:spacing w:before="0" w:after="200"/>
              <w:jc w:val="both"/>
              <w:rPr>
                <w:rFonts w:ascii="Times New Roman" w:hAnsi="Times New Roman" w:cs="Times New Roman"/>
                <w:sz w:val="24"/>
                <w:szCs w:val="24"/>
              </w:rPr>
            </w:pPr>
            <w:r>
              <w:rPr>
                <w:rFonts w:cs="Times New Roman" w:ascii="Times New Roman" w:hAnsi="Times New Roman"/>
                <w:sz w:val="24"/>
                <w:szCs w:val="24"/>
              </w:rPr>
            </w:r>
          </w:p>
        </w:tc>
        <w:tc>
          <w:tcPr>
            <w:tcW w:w="22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jc w:val="center"/>
              <w:rPr>
                <w:rFonts w:ascii="Times New Roman" w:hAnsi="Times New Roman" w:cs="Times New Roman"/>
                <w:i/>
                <w:i/>
                <w:sz w:val="24"/>
                <w:szCs w:val="24"/>
              </w:rPr>
            </w:pPr>
            <w:r>
              <w:rPr>
                <w:rFonts w:cs="Times New Roman" w:ascii="Times New Roman" w:hAnsi="Times New Roman"/>
                <w:i/>
                <w:sz w:val="24"/>
                <w:szCs w:val="24"/>
              </w:rPr>
              <w:t>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tc>
        <w:tc>
          <w:tcPr>
            <w:tcW w:w="1496"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.6.</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08"/>
                <w:tab w:val="left" w:pos="3318" w:leader="none"/>
              </w:tabs>
              <w:spacing w:before="0" w:after="200"/>
              <w:jc w:val="both"/>
              <w:rPr>
                <w:rFonts w:ascii="Times New Roman" w:hAnsi="Times New Roman" w:cs="Times New Roman"/>
                <w:sz w:val="24"/>
                <w:szCs w:val="24"/>
              </w:rPr>
            </w:pPr>
            <w:r>
              <w:rPr>
                <w:rFonts w:cs="Times New Roman" w:ascii="Times New Roman" w:hAnsi="Times New Roman"/>
                <w:sz w:val="24"/>
                <w:szCs w:val="24"/>
              </w:rPr>
              <w:t>Подготовить и направить заявление о выдаче разрешения на размещение объекта в исполнительный орган власти или орган местного самоуправления.</w:t>
            </w:r>
          </w:p>
        </w:tc>
        <w:tc>
          <w:tcPr>
            <w:tcW w:w="22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t>Заявление</w:t>
            </w:r>
          </w:p>
        </w:tc>
        <w:tc>
          <w:tcPr>
            <w:tcW w:w="1496"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rPr>
              <w:t>1.7.</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08"/>
                <w:tab w:val="left" w:pos="3318" w:leader="none"/>
              </w:tabs>
              <w:jc w:val="both"/>
              <w:rPr/>
            </w:pPr>
            <w:r>
              <w:rPr>
                <w:rFonts w:cs="Times New Roman" w:ascii="Times New Roman" w:hAnsi="Times New Roman"/>
                <w:sz w:val="24"/>
                <w:szCs w:val="24"/>
              </w:rPr>
              <w:t>В случае, прохождения трассы объекта строительства, планируемого к расположению на части земельных участков, находящихся в государственной и муниципальной собственности, в пользовании третьих лиц, а также в собственности физических, юридических лиц</w:t>
            </w:r>
            <w:r>
              <w:rPr>
                <w:rFonts w:cs="Times New Roman" w:ascii="Times New Roman" w:hAnsi="Times New Roman"/>
                <w:b/>
                <w:sz w:val="24"/>
                <w:szCs w:val="24"/>
              </w:rPr>
              <w:t xml:space="preserve"> </w:t>
            </w:r>
            <w:r>
              <w:rPr>
                <w:rFonts w:cs="Times New Roman" w:ascii="Times New Roman" w:hAnsi="Times New Roman"/>
                <w:sz w:val="24"/>
                <w:szCs w:val="24"/>
              </w:rPr>
              <w:t xml:space="preserve">подготовить и передать Заказчику в форме электронного документа сведений о границах территории, в отношении которой устанавливается публичный сервитут (далее - границы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МСК-25 </w:t>
            </w:r>
            <w:r>
              <w:rPr>
                <w:rFonts w:cs="Times New Roman" w:ascii="Times New Roman" w:hAnsi="Times New Roman"/>
                <w:i/>
                <w:sz w:val="24"/>
                <w:szCs w:val="24"/>
              </w:rPr>
              <w:t xml:space="preserve">(в соответствии с требованиями приказа Федеральной службы государственной регистрации, кадастра и картографии от 13 января 2021 г. N П/0004). </w:t>
            </w:r>
          </w:p>
          <w:p>
            <w:pPr>
              <w:pStyle w:val="Normal"/>
              <w:widowControl w:val="false"/>
              <w:tabs>
                <w:tab w:val="clear" w:pos="708"/>
                <w:tab w:val="left" w:pos="3318" w:leader="none"/>
              </w:tabs>
              <w:spacing w:before="0" w:after="200"/>
              <w:jc w:val="both"/>
              <w:rPr/>
            </w:pPr>
            <w:r>
              <w:rPr>
                <w:rFonts w:eastAsia="Calibri" w:cs="Times New Roman" w:ascii="Times New Roman" w:hAnsi="Times New Roman" w:eastAsiaTheme="minorHAnsi"/>
                <w:i/>
                <w:color w:val="333333"/>
                <w:sz w:val="24"/>
                <w:szCs w:val="24"/>
              </w:rPr>
              <w:t>Обеспечить подготовку отчетов об оценке рыночной стоимости платы за публичный сервитут определяемой в соответствии с Федеральным законом "Об оценочной деятельности в Российской Федерации" и методическими рекомендациями,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(при необходимости).</w:t>
            </w:r>
          </w:p>
        </w:tc>
        <w:tc>
          <w:tcPr>
            <w:tcW w:w="22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pPr>
            <w:r>
              <w:rPr>
                <w:rFonts w:cs="Times New Roman" w:ascii="Times New Roman" w:hAnsi="Times New Roman"/>
                <w:i/>
                <w:iCs/>
                <w:sz w:val="24"/>
                <w:szCs w:val="24"/>
              </w:rPr>
              <w:t>Графическое описание местоположения границ публичного сервитута, ходатайство об установлении публичного сервитута</w:t>
            </w:r>
            <w:r>
              <w:rPr>
                <w:rFonts w:cs="Times New Roman" w:ascii="Times New Roman" w:hAnsi="Times New Roman"/>
                <w:i/>
                <w:sz w:val="24"/>
                <w:szCs w:val="24"/>
              </w:rPr>
              <w:t xml:space="preserve"> </w:t>
            </w:r>
          </w:p>
          <w:p>
            <w:pPr>
              <w:pStyle w:val="Normal"/>
              <w:widowControl w:val="false"/>
              <w:jc w:val="center"/>
              <w:rPr>
                <w:rFonts w:ascii="Times New Roman" w:hAnsi="Times New Roman" w:cs="Times New Roman"/>
                <w:i/>
                <w:i/>
                <w:sz w:val="24"/>
                <w:szCs w:val="24"/>
              </w:rPr>
            </w:pPr>
            <w:r>
              <w:rPr>
                <w:rFonts w:cs="Times New Roman" w:ascii="Times New Roman" w:hAnsi="Times New Roman"/>
                <w:i/>
                <w:sz w:val="24"/>
                <w:szCs w:val="24"/>
              </w:rPr>
            </w:r>
          </w:p>
          <w:p>
            <w:pPr>
              <w:pStyle w:val="Normal"/>
              <w:widowControl w:val="false"/>
              <w:jc w:val="center"/>
              <w:rPr>
                <w:rFonts w:ascii="Times New Roman" w:hAnsi="Times New Roman" w:cs="Times New Roman"/>
                <w:i/>
                <w:i/>
                <w:sz w:val="24"/>
                <w:szCs w:val="24"/>
              </w:rPr>
            </w:pPr>
            <w:r>
              <w:rPr>
                <w:rFonts w:cs="Times New Roman" w:ascii="Times New Roman" w:hAnsi="Times New Roman"/>
                <w:i/>
                <w:sz w:val="24"/>
                <w:szCs w:val="24"/>
              </w:rPr>
            </w:r>
          </w:p>
          <w:p>
            <w:pPr>
              <w:pStyle w:val="Normal"/>
              <w:widowControl w:val="false"/>
              <w:jc w:val="center"/>
              <w:rPr>
                <w:rFonts w:ascii="Times New Roman" w:hAnsi="Times New Roman" w:cs="Times New Roman"/>
                <w:i/>
                <w:i/>
                <w:sz w:val="24"/>
                <w:szCs w:val="24"/>
              </w:rPr>
            </w:pPr>
            <w:r>
              <w:rPr>
                <w:rFonts w:cs="Times New Roman" w:ascii="Times New Roman" w:hAnsi="Times New Roman"/>
                <w:i/>
                <w:sz w:val="24"/>
                <w:szCs w:val="24"/>
              </w:rPr>
            </w:r>
          </w:p>
          <w:p>
            <w:pPr>
              <w:pStyle w:val="Normal"/>
              <w:widowControl w:val="false"/>
              <w:spacing w:before="0" w:after="200"/>
              <w:jc w:val="center"/>
              <w:rPr/>
            </w:pPr>
            <w:r>
              <w:rPr>
                <w:rFonts w:cs="Times New Roman" w:ascii="Times New Roman" w:hAnsi="Times New Roman"/>
                <w:i/>
                <w:iCs/>
                <w:color w:val="333333"/>
                <w:sz w:val="24"/>
                <w:szCs w:val="24"/>
              </w:rPr>
              <w:t>Отчет об оценке рыночной стоимости</w:t>
            </w:r>
          </w:p>
        </w:tc>
        <w:tc>
          <w:tcPr>
            <w:tcW w:w="1496"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sz w:val="24"/>
                <w:szCs w:val="24"/>
                <w:lang w:val="en-US"/>
              </w:rPr>
            </w:pPr>
            <w:r>
              <w:rPr>
                <w:rFonts w:cs="Times New Roman" w:ascii="Times New Roman" w:hAnsi="Times New Roman"/>
                <w:sz w:val="24"/>
                <w:szCs w:val="24"/>
                <w:lang w:val="en-US"/>
              </w:rPr>
              <w:t>1</w:t>
            </w:r>
            <w:r>
              <w:rPr>
                <w:rFonts w:cs="Times New Roman" w:ascii="Times New Roman" w:hAnsi="Times New Roman"/>
                <w:sz w:val="24"/>
                <w:szCs w:val="24"/>
              </w:rPr>
              <w:t>.8.</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both"/>
              <w:rPr>
                <w:rFonts w:ascii="Times New Roman" w:hAnsi="Times New Roman" w:cs="Times New Roman"/>
                <w:sz w:val="24"/>
                <w:szCs w:val="24"/>
              </w:rPr>
            </w:pPr>
            <w:r>
              <w:rPr>
                <w:rFonts w:cs="Times New Roman" w:ascii="Times New Roman" w:hAnsi="Times New Roman"/>
                <w:sz w:val="24"/>
                <w:szCs w:val="24"/>
              </w:rPr>
              <w:t>В случае, прохождения трассы объекта строительства, планируемого к расположению на части лесного участка, находящегося в государственной собственности, в пользовании третьих лиц, подготовить и передать Заказчику графическое описание местоположения границ, соглашение об установлении сервитута на части лесного участка, проект освоения лесов</w:t>
            </w:r>
            <w:r>
              <w:rPr>
                <w:rFonts w:cs="Times New Roman" w:ascii="Times New Roman" w:hAnsi="Times New Roman"/>
                <w:i/>
                <w:sz w:val="24"/>
                <w:szCs w:val="24"/>
              </w:rPr>
              <w:t>,</w:t>
            </w:r>
            <w:r>
              <w:rPr>
                <w:rFonts w:cs="Times New Roman" w:ascii="Times New Roman" w:hAnsi="Times New Roman"/>
                <w:sz w:val="24"/>
                <w:szCs w:val="24"/>
              </w:rPr>
              <w:t xml:space="preserve"> отчеты в установленной форме, работы по лесовосстановлению или лесоразведению на площади равной вырубке лесных насаждений</w:t>
            </w:r>
          </w:p>
        </w:tc>
        <w:tc>
          <w:tcPr>
            <w:tcW w:w="22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iCs/>
                <w:sz w:val="24"/>
                <w:szCs w:val="24"/>
              </w:rPr>
            </w:pPr>
            <w:r>
              <w:rPr>
                <w:rFonts w:cs="Times New Roman" w:ascii="Times New Roman" w:hAnsi="Times New Roman"/>
                <w:i/>
                <w:iCs/>
                <w:sz w:val="24"/>
                <w:szCs w:val="24"/>
              </w:rPr>
              <w:t>Графическое описание местоположения границ, соглашение об установлении сервитута на части лесного участка, проект освоения лесов, лесная декларация отчеты, проект лесовосстановления или лесоразведения лесных насаждений.</w:t>
            </w:r>
          </w:p>
        </w:tc>
        <w:tc>
          <w:tcPr>
            <w:tcW w:w="1496"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 xml:space="preserve">.9. </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both"/>
              <w:rPr>
                <w:rFonts w:ascii="Times New Roman" w:hAnsi="Times New Roman" w:cs="Times New Roman"/>
                <w:bCs/>
                <w:sz w:val="24"/>
                <w:szCs w:val="24"/>
              </w:rPr>
            </w:pPr>
            <w:r>
              <w:rPr>
                <w:rFonts w:cs="Times New Roman" w:ascii="Times New Roman" w:hAnsi="Times New Roman"/>
                <w:sz w:val="24"/>
                <w:szCs w:val="24"/>
              </w:rPr>
              <w:t>Закрепление на местности границ земельного участка, в отношении которого получено разрешение на использование земель, решение об установлении публичного сервитута.</w:t>
            </w:r>
          </w:p>
        </w:tc>
        <w:tc>
          <w:tcPr>
            <w:tcW w:w="22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iCs/>
                <w:sz w:val="24"/>
                <w:szCs w:val="24"/>
              </w:rPr>
              <w:t>Акт закрепления границ земельного участка на местности</w:t>
            </w:r>
          </w:p>
        </w:tc>
        <w:tc>
          <w:tcPr>
            <w:tcW w:w="1496"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Standard"/>
              <w:widowControl w:val="false"/>
              <w:jc w:val="center"/>
              <w:rPr>
                <w:rFonts w:ascii="Times New Roman" w:hAnsi="Times New Roman" w:cs="Times New Roman"/>
                <w:color w:val="2A6099"/>
                <w:sz w:val="24"/>
                <w:szCs w:val="24"/>
              </w:rPr>
            </w:pPr>
            <w:r>
              <w:rPr>
                <w:rFonts w:cs="Times New Roman" w:ascii="Times New Roman" w:hAnsi="Times New Roman"/>
                <w:color w:val="2A6099"/>
                <w:sz w:val="24"/>
                <w:szCs w:val="24"/>
              </w:rPr>
              <w:t>1.10</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Standard"/>
              <w:widowControl w:val="false"/>
              <w:tabs>
                <w:tab w:val="clear" w:pos="708"/>
                <w:tab w:val="left" w:pos="993" w:leader="none"/>
              </w:tabs>
              <w:ind w:right="-16" w:hanging="0"/>
              <w:jc w:val="both"/>
              <w:rPr>
                <w:rFonts w:ascii="Times New Roman" w:hAnsi="Times New Roman" w:cs="Times New Roman"/>
                <w:color w:val="2A6099"/>
                <w:sz w:val="24"/>
                <w:szCs w:val="24"/>
              </w:rPr>
            </w:pPr>
            <w:r>
              <w:rPr>
                <w:rFonts w:cs="Times New Roman" w:ascii="Times New Roman" w:hAnsi="Times New Roman"/>
                <w:color w:val="2A6099"/>
                <w:sz w:val="24"/>
                <w:szCs w:val="24"/>
              </w:rPr>
              <w:t>В случае оформления правоустанавливающих документов на использование земельных участков по правовому титулу — публичных сервитут в отдельных целях, обеспечить подготовку отчета об оценке, проведенной в соответствии с законодательством Российской Федерации об оценочной деятельности в целях определения размера платы за публичный сервитут.</w:t>
            </w:r>
          </w:p>
        </w:tc>
        <w:tc>
          <w:tcPr>
            <w:tcW w:w="2272" w:type="dxa"/>
            <w:tcBorders>
              <w:top w:val="single" w:sz="4" w:space="0" w:color="00000A"/>
              <w:left w:val="single" w:sz="4" w:space="0" w:color="00000A"/>
              <w:bottom w:val="single" w:sz="4" w:space="0" w:color="00000A"/>
              <w:right w:val="single" w:sz="4" w:space="0" w:color="00000A"/>
            </w:tcBorders>
            <w:shd w:color="auto" w:fill="auto" w:val="clear"/>
          </w:tcPr>
          <w:p>
            <w:pPr>
              <w:pStyle w:val="Standard"/>
              <w:widowControl w:val="false"/>
              <w:jc w:val="center"/>
              <w:rPr>
                <w:rFonts w:ascii="Times New Roman" w:hAnsi="Times New Roman" w:cs="Times New Roman"/>
                <w:i/>
                <w:i/>
                <w:iCs/>
                <w:sz w:val="24"/>
                <w:szCs w:val="24"/>
              </w:rPr>
            </w:pPr>
            <w:r>
              <w:rPr>
                <w:rFonts w:cs="Times New Roman" w:ascii="Times New Roman" w:hAnsi="Times New Roman"/>
                <w:i/>
                <w:iCs/>
                <w:sz w:val="24"/>
                <w:szCs w:val="24"/>
              </w:rPr>
            </w:r>
          </w:p>
          <w:p>
            <w:pPr>
              <w:pStyle w:val="Standard"/>
              <w:widowControl w:val="false"/>
              <w:jc w:val="center"/>
              <w:rPr>
                <w:rFonts w:ascii="Times New Roman" w:hAnsi="Times New Roman" w:cs="Times New Roman"/>
                <w:i/>
                <w:i/>
                <w:iCs/>
                <w:sz w:val="24"/>
                <w:szCs w:val="24"/>
              </w:rPr>
            </w:pPr>
            <w:r>
              <w:rPr>
                <w:rFonts w:cs="Times New Roman" w:ascii="Times New Roman" w:hAnsi="Times New Roman"/>
                <w:i/>
                <w:iCs/>
                <w:sz w:val="24"/>
                <w:szCs w:val="24"/>
              </w:rPr>
            </w:r>
          </w:p>
          <w:p>
            <w:pPr>
              <w:pStyle w:val="Standard"/>
              <w:widowControl w:val="false"/>
              <w:jc w:val="center"/>
              <w:rPr>
                <w:rFonts w:ascii="Times New Roman" w:hAnsi="Times New Roman" w:cs="Times New Roman"/>
                <w:i/>
                <w:i/>
                <w:iCs/>
                <w:sz w:val="24"/>
                <w:szCs w:val="24"/>
              </w:rPr>
            </w:pPr>
            <w:r>
              <w:rPr>
                <w:rFonts w:cs="Times New Roman" w:ascii="Times New Roman" w:hAnsi="Times New Roman"/>
                <w:i/>
                <w:iCs/>
                <w:sz w:val="24"/>
                <w:szCs w:val="24"/>
              </w:rPr>
            </w:r>
          </w:p>
          <w:p>
            <w:pPr>
              <w:pStyle w:val="Standard"/>
              <w:widowControl w:val="false"/>
              <w:jc w:val="center"/>
              <w:rPr>
                <w:rFonts w:ascii="Times New Roman" w:hAnsi="Times New Roman" w:cs="Times New Roman"/>
                <w:i/>
                <w:i/>
                <w:iCs/>
                <w:sz w:val="24"/>
                <w:szCs w:val="24"/>
              </w:rPr>
            </w:pPr>
            <w:r>
              <w:rPr>
                <w:rFonts w:cs="Times New Roman" w:ascii="Times New Roman" w:hAnsi="Times New Roman"/>
                <w:i/>
                <w:iCs/>
                <w:sz w:val="24"/>
                <w:szCs w:val="24"/>
              </w:rPr>
            </w:r>
          </w:p>
          <w:p>
            <w:pPr>
              <w:pStyle w:val="Standard"/>
              <w:widowControl w:val="false"/>
              <w:jc w:val="center"/>
              <w:rPr>
                <w:rFonts w:ascii="Times New Roman" w:hAnsi="Times New Roman" w:cs="Times New Roman"/>
                <w:i/>
                <w:i/>
                <w:iCs/>
                <w:sz w:val="24"/>
                <w:szCs w:val="24"/>
              </w:rPr>
            </w:pPr>
            <w:r>
              <w:rPr>
                <w:rFonts w:cs="Times New Roman" w:ascii="Times New Roman" w:hAnsi="Times New Roman"/>
                <w:i/>
                <w:iCs/>
                <w:sz w:val="24"/>
                <w:szCs w:val="24"/>
              </w:rPr>
              <w:t>Отчет</w:t>
            </w:r>
          </w:p>
        </w:tc>
        <w:tc>
          <w:tcPr>
            <w:tcW w:w="149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Standard"/>
              <w:widowControl w:val="false"/>
              <w:jc w:val="center"/>
              <w:rPr>
                <w:rFonts w:ascii="Times New Roman" w:hAnsi="Times New Roman" w:cs="Times New Roman"/>
                <w:i/>
                <w:i/>
                <w:sz w:val="24"/>
                <w:szCs w:val="24"/>
              </w:rPr>
            </w:pPr>
            <w:r>
              <w:rPr>
                <w:rFonts w:cs="Times New Roman" w:ascii="Times New Roman" w:hAnsi="Times New Roman"/>
                <w:i/>
                <w:sz w:val="24"/>
                <w:szCs w:val="24"/>
              </w:rPr>
              <w:t>1</w:t>
            </w:r>
          </w:p>
        </w:tc>
      </w:tr>
      <w:tr>
        <w:trPr>
          <w:trHeight w:val="384" w:hRule="atLeast"/>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rFonts w:ascii="Times New Roman" w:hAnsi="Times New Roman" w:cs="Times New Roman"/>
                <w:b/>
                <w:b/>
                <w:sz w:val="24"/>
                <w:szCs w:val="24"/>
              </w:rPr>
            </w:pPr>
            <w:r>
              <w:rPr>
                <w:rFonts w:cs="Times New Roman" w:ascii="Times New Roman" w:hAnsi="Times New Roman"/>
                <w:b/>
                <w:sz w:val="24"/>
                <w:szCs w:val="24"/>
                <w:lang w:val="en-US"/>
              </w:rPr>
              <w:t>2</w:t>
            </w:r>
            <w:r>
              <w:rPr>
                <w:rFonts w:cs="Times New Roman" w:ascii="Times New Roman" w:hAnsi="Times New Roman"/>
                <w:b/>
                <w:sz w:val="24"/>
                <w:szCs w:val="24"/>
              </w:rPr>
              <w:t>.</w:t>
            </w:r>
          </w:p>
        </w:tc>
        <w:tc>
          <w:tcPr>
            <w:tcW w:w="8902" w:type="dxa"/>
            <w:gridSpan w:val="3"/>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pPr>
            <w:r>
              <w:rPr>
                <w:rFonts w:cs="Times New Roman" w:ascii="Times New Roman" w:hAnsi="Times New Roman"/>
                <w:b/>
                <w:sz w:val="24"/>
                <w:szCs w:val="24"/>
              </w:rPr>
              <w:t>ВЫПОЛНЕНИЕ ПРОЕКТНО-ИЗЫСКАТЕЛЬСКИХ РАБОТ</w:t>
            </w:r>
          </w:p>
        </w:tc>
      </w:tr>
      <w:tr>
        <w:trPr/>
        <w:tc>
          <w:tcPr>
            <w:tcW w:w="7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ascii="Times New Roman" w:hAnsi="Times New Roman" w:cs="Times New Roman"/>
                <w:sz w:val="24"/>
                <w:szCs w:val="24"/>
                <w:lang w:val="en-US"/>
              </w:rPr>
            </w:pPr>
            <w:r>
              <w:rPr>
                <w:rFonts w:cs="Times New Roman" w:ascii="Times New Roman" w:hAnsi="Times New Roman"/>
                <w:sz w:val="24"/>
                <w:szCs w:val="24"/>
              </w:rPr>
              <w:t>2.1</w:t>
            </w:r>
          </w:p>
        </w:tc>
        <w:tc>
          <w:tcPr>
            <w:tcW w:w="5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both"/>
              <w:rPr/>
            </w:pPr>
            <w:r>
              <w:rPr>
                <w:rFonts w:ascii="Times New Roman" w:hAnsi="Times New Roman"/>
                <w:sz w:val="24"/>
                <w:szCs w:val="24"/>
              </w:rPr>
              <w:t xml:space="preserve">Выполнить комплекс инженерных изысканий в объеме достаточном для разработки документации. </w:t>
            </w:r>
          </w:p>
          <w:p>
            <w:pPr>
              <w:pStyle w:val="Normal"/>
              <w:widowControl w:val="false"/>
              <w:spacing w:before="0" w:after="0"/>
              <w:jc w:val="both"/>
              <w:rPr>
                <w:rFonts w:ascii="Times New Roman" w:hAnsi="Times New Roman"/>
                <w:sz w:val="24"/>
                <w:szCs w:val="24"/>
              </w:rPr>
            </w:pPr>
            <w:r>
              <w:rPr>
                <w:rFonts w:ascii="Times New Roman" w:hAnsi="Times New Roman"/>
                <w:sz w:val="24"/>
                <w:szCs w:val="24"/>
              </w:rPr>
              <w:t>Выполнить проектно-сметную документацию по объекту:</w:t>
            </w:r>
          </w:p>
          <w:p>
            <w:pPr>
              <w:pStyle w:val="Normal"/>
              <w:widowControl w:val="false"/>
              <w:spacing w:before="0" w:after="0"/>
              <w:jc w:val="both"/>
              <w:rPr/>
            </w:pPr>
            <w:r>
              <w:rPr>
                <w:rFonts w:cs="Times New Roman" w:ascii="Times New Roman" w:hAnsi="Times New Roman"/>
                <w:iCs/>
                <w:sz w:val="24"/>
                <w:szCs w:val="24"/>
                <w:lang w:val="x-none"/>
              </w:rPr>
              <w:t xml:space="preserve">Реконструкция </w:t>
            </w:r>
            <w:r>
              <w:rPr>
                <w:rFonts w:cs="Times New Roman" w:ascii="Times New Roman" w:hAnsi="Times New Roman"/>
                <w:iCs/>
                <w:sz w:val="24"/>
                <w:szCs w:val="24"/>
              </w:rPr>
              <w:t>РУ 6 кВ ПС 110 кВ, строительство КЛ 6 кВ</w:t>
            </w:r>
            <w:r>
              <w:rPr>
                <w:rFonts w:cs="Times New Roman" w:ascii="Times New Roman" w:hAnsi="Times New Roman"/>
                <w:iCs/>
                <w:sz w:val="24"/>
                <w:szCs w:val="24"/>
                <w:lang w:val="x-none"/>
              </w:rPr>
              <w:t xml:space="preserve"> и монтаж системы коммерческого учета электроэнергии  </w:t>
            </w:r>
            <w:r>
              <w:rPr>
                <w:rFonts w:cs="Times New Roman" w:ascii="Times New Roman" w:hAnsi="Times New Roman"/>
                <w:iCs/>
                <w:szCs w:val="24"/>
                <w:lang w:val="x-none"/>
              </w:rPr>
              <w:t xml:space="preserve">для заявителя </w:t>
            </w:r>
            <w:r>
              <w:rPr>
                <w:rFonts w:cs="Times New Roman" w:ascii="Times New Roman" w:hAnsi="Times New Roman"/>
                <w:iCs/>
                <w:szCs w:val="24"/>
              </w:rPr>
              <w:t>ООО «Специализированный застройщик Старк»</w:t>
            </w:r>
          </w:p>
        </w:tc>
        <w:tc>
          <w:tcPr>
            <w:tcW w:w="227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rFonts w:ascii="Times New Roman" w:hAnsi="Times New Roman" w:cs="Times New Roman"/>
                <w:i/>
                <w:i/>
                <w:sz w:val="24"/>
                <w:szCs w:val="24"/>
              </w:rPr>
            </w:pPr>
            <w:r>
              <w:rPr>
                <w:rFonts w:cs="Times New Roman" w:ascii="Times New Roman" w:hAnsi="Times New Roman"/>
                <w:i/>
                <w:sz w:val="24"/>
                <w:szCs w:val="24"/>
              </w:rPr>
              <w:t>Условная единица (Комплект)</w:t>
            </w:r>
          </w:p>
        </w:tc>
        <w:tc>
          <w:tcPr>
            <w:tcW w:w="149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rFonts w:ascii="Times New Roman" w:hAnsi="Times New Roman" w:cs="Times New Roman"/>
                <w:i/>
                <w:i/>
                <w:sz w:val="24"/>
                <w:szCs w:val="24"/>
                <w:lang w:val="en-US"/>
              </w:rPr>
            </w:pPr>
            <w:r>
              <w:rPr>
                <w:rFonts w:cs="Times New Roman" w:ascii="Times New Roman" w:hAnsi="Times New Roman"/>
                <w:i/>
                <w:sz w:val="24"/>
                <w:szCs w:val="24"/>
                <w:lang w:val="en-US"/>
              </w:rPr>
              <w:t>1</w:t>
            </w:r>
          </w:p>
        </w:tc>
      </w:tr>
    </w:tbl>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 xml:space="preserve">  </w:t>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pPr>
      <w:r>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2.1.2. Требования к срокам выполнения работ</w:t>
      </w:r>
    </w:p>
    <w:p>
      <w:pPr>
        <w:pStyle w:val="Normal"/>
        <w:spacing w:lineRule="auto" w:line="240" w:before="0" w:after="0"/>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Таблица 3. Требования по срокам выполнения работ</w:t>
      </w:r>
    </w:p>
    <w:tbl>
      <w:tblPr>
        <w:tblW w:w="9497" w:type="dxa"/>
        <w:jc w:val="left"/>
        <w:tblInd w:w="27" w:type="dxa"/>
        <w:tblLayout w:type="fixed"/>
        <w:tblCellMar>
          <w:top w:w="0" w:type="dxa"/>
          <w:left w:w="5" w:type="dxa"/>
          <w:bottom w:w="0" w:type="dxa"/>
          <w:right w:w="98" w:type="dxa"/>
        </w:tblCellMar>
        <w:tblLook w:val="04a0" w:noHBand="0" w:noVBand="1" w:firstColumn="1" w:lastRow="0" w:lastColumn="0" w:firstRow="1"/>
      </w:tblPr>
      <w:tblGrid>
        <w:gridCol w:w="566"/>
        <w:gridCol w:w="3832"/>
        <w:gridCol w:w="2096"/>
        <w:gridCol w:w="3002"/>
      </w:tblGrid>
      <w:tr>
        <w:trPr/>
        <w:tc>
          <w:tcPr>
            <w:tcW w:w="5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п/п</w:t>
            </w:r>
          </w:p>
        </w:tc>
        <w:tc>
          <w:tcPr>
            <w:tcW w:w="38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Наименование работ/ этапа работ</w:t>
            </w:r>
          </w:p>
        </w:tc>
        <w:tc>
          <w:tcPr>
            <w:tcW w:w="209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началу срока выполнения работ/ этапа работ</w:t>
            </w:r>
          </w:p>
        </w:tc>
        <w:tc>
          <w:tcPr>
            <w:tcW w:w="30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окончанию срока выполнения работ / этапа работ</w:t>
            </w:r>
          </w:p>
        </w:tc>
      </w:tr>
      <w:tr>
        <w:trPr/>
        <w:tc>
          <w:tcPr>
            <w:tcW w:w="5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8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209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c>
          <w:tcPr>
            <w:tcW w:w="30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w:t>
            </w:r>
          </w:p>
        </w:tc>
      </w:tr>
      <w:tr>
        <w:trPr/>
        <w:tc>
          <w:tcPr>
            <w:tcW w:w="5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8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rPr>
                <w:rFonts w:ascii="Times New Roman" w:hAnsi="Times New Roman" w:eastAsia="Times New Roman" w:cs="Times New Roman"/>
                <w:sz w:val="24"/>
                <w:szCs w:val="24"/>
                <w:highlight w:val="yellow"/>
                <w:lang w:eastAsia="ru-RU"/>
              </w:rPr>
            </w:pPr>
            <w:r>
              <w:rPr>
                <w:rFonts w:eastAsia="Times New Roman" w:cs="Times New Roman" w:ascii="Times New Roman" w:hAnsi="Times New Roman"/>
                <w:sz w:val="24"/>
                <w:szCs w:val="24"/>
                <w:lang w:eastAsia="ru-RU"/>
              </w:rPr>
              <w:t xml:space="preserve">Оформление правоустанавливающих документов на земельные участки </w:t>
            </w:r>
          </w:p>
        </w:tc>
        <w:tc>
          <w:tcPr>
            <w:tcW w:w="209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С начала действия договора подряда</w:t>
            </w:r>
          </w:p>
        </w:tc>
        <w:tc>
          <w:tcPr>
            <w:tcW w:w="30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 xml:space="preserve">В течение 60 календарных дней </w:t>
            </w:r>
          </w:p>
        </w:tc>
      </w:tr>
      <w:tr>
        <w:trPr/>
        <w:tc>
          <w:tcPr>
            <w:tcW w:w="5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38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Выполнение и согласование с Заказчиком проектно-изыскательских работ</w:t>
            </w:r>
          </w:p>
        </w:tc>
        <w:tc>
          <w:tcPr>
            <w:tcW w:w="209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С начала действия договора подряда</w:t>
            </w:r>
          </w:p>
        </w:tc>
        <w:tc>
          <w:tcPr>
            <w:tcW w:w="30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 xml:space="preserve">В течение 90 календарных дней </w:t>
            </w:r>
          </w:p>
        </w:tc>
      </w:tr>
    </w:tbl>
    <w:p>
      <w:pPr>
        <w:sectPr>
          <w:footerReference w:type="default" r:id="rId2"/>
          <w:type w:val="nextPage"/>
          <w:pgSz w:w="11906" w:h="16838"/>
          <w:pgMar w:left="1701" w:right="850" w:header="0" w:top="993" w:footer="708" w:bottom="765" w:gutter="0"/>
          <w:pgNumType w:fmt="decimal"/>
          <w:formProt w:val="false"/>
          <w:textDirection w:val="lrTb"/>
          <w:docGrid w:type="default" w:linePitch="360" w:charSpace="0"/>
        </w:sectPr>
      </w:pP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2.2. Требования к качеству работ</w:t>
      </w:r>
    </w:p>
    <w:p>
      <w:pPr>
        <w:pStyle w:val="Normal"/>
        <w:keepNext w:val="true"/>
        <w:keepLines/>
        <w:numPr>
          <w:ilvl w:val="0"/>
          <w:numId w:val="0"/>
        </w:numPr>
        <w:spacing w:lineRule="auto" w:line="240" w:before="0" w:after="0"/>
        <w:ind w:left="0" w:hanging="0"/>
        <w:outlineLvl w:val="0"/>
        <w:rPr>
          <w:rFonts w:ascii="Times New Roman" w:hAnsi="Times New Roman" w:cs="Times New Roman"/>
          <w:sz w:val="24"/>
          <w:szCs w:val="24"/>
          <w:lang w:eastAsia="x-none"/>
        </w:rPr>
      </w:pPr>
      <w:r>
        <w:rPr>
          <w:rFonts w:cs="Times New Roman" w:ascii="Times New Roman" w:hAnsi="Times New Roman"/>
          <w:sz w:val="24"/>
          <w:szCs w:val="24"/>
          <w:lang w:val="x-none" w:eastAsia="x-none"/>
        </w:rPr>
        <w:t>Таблица</w:t>
      </w:r>
      <w:r>
        <w:rPr>
          <w:rFonts w:cs="Times New Roman" w:ascii="Times New Roman" w:hAnsi="Times New Roman"/>
          <w:sz w:val="24"/>
          <w:szCs w:val="24"/>
          <w:lang w:eastAsia="x-none"/>
        </w:rPr>
        <w:t xml:space="preserve"> 4</w:t>
      </w:r>
      <w:r>
        <w:rPr>
          <w:rFonts w:cs="Times New Roman" w:ascii="Times New Roman" w:hAnsi="Times New Roman"/>
          <w:sz w:val="24"/>
          <w:szCs w:val="24"/>
          <w:lang w:val="x-none" w:eastAsia="x-none"/>
        </w:rPr>
        <w:t xml:space="preserve">. Требования к </w:t>
      </w:r>
      <w:r>
        <w:rPr>
          <w:rFonts w:cs="Times New Roman" w:ascii="Times New Roman" w:hAnsi="Times New Roman"/>
          <w:sz w:val="24"/>
          <w:szCs w:val="24"/>
          <w:lang w:eastAsia="x-none"/>
        </w:rPr>
        <w:t>качеству работ</w:t>
      </w:r>
    </w:p>
    <w:p>
      <w:pPr>
        <w:pStyle w:val="Normal"/>
        <w:keepNext w:val="true"/>
        <w:keepLines/>
        <w:numPr>
          <w:ilvl w:val="0"/>
          <w:numId w:val="0"/>
        </w:numPr>
        <w:spacing w:lineRule="auto" w:line="240" w:before="0" w:after="0"/>
        <w:ind w:left="0" w:hanging="0"/>
        <w:outlineLvl w:val="0"/>
        <w:rPr>
          <w:rFonts w:ascii="Times New Roman" w:hAnsi="Times New Roman" w:cs="Times New Roman"/>
          <w:color w:val="002060"/>
          <w:sz w:val="24"/>
          <w:szCs w:val="24"/>
          <w:lang w:val="x-none" w:eastAsia="x-none"/>
        </w:rPr>
      </w:pPr>
      <w:r>
        <w:rPr>
          <w:rFonts w:cs="Times New Roman" w:ascii="Times New Roman" w:hAnsi="Times New Roman"/>
          <w:sz w:val="24"/>
          <w:szCs w:val="24"/>
          <w:lang w:eastAsia="x-none"/>
        </w:rPr>
        <w:t>Наименование работ:</w:t>
      </w:r>
      <w:r>
        <w:rPr>
          <w:rFonts w:cs="Times New Roman" w:ascii="Times New Roman" w:hAnsi="Times New Roman"/>
          <w:sz w:val="24"/>
          <w:szCs w:val="24"/>
          <w:lang w:val="x-none" w:eastAsia="x-none"/>
        </w:rPr>
        <w:t xml:space="preserve"> </w:t>
      </w:r>
      <w:r>
        <w:rPr>
          <w:rFonts w:cs="Times New Roman" w:ascii="Times New Roman" w:hAnsi="Times New Roman"/>
          <w:sz w:val="24"/>
          <w:szCs w:val="24"/>
          <w:lang w:eastAsia="x-none"/>
        </w:rPr>
        <w:t>«Оформление ПУД, подготовка ПСД»</w:t>
      </w:r>
    </w:p>
    <w:tbl>
      <w:tblPr>
        <w:tblStyle w:val="affe"/>
        <w:tblpPr w:bottomFromText="0" w:horzAnchor="text" w:leftFromText="180" w:rightFromText="180" w:tblpX="-5" w:tblpY="1" w:topFromText="0" w:vertAnchor="text"/>
        <w:tblW w:w="16013" w:type="dxa"/>
        <w:jc w:val="left"/>
        <w:tblInd w:w="-5" w:type="dxa"/>
        <w:tblLayout w:type="fixed"/>
        <w:tblCellMar>
          <w:top w:w="0" w:type="dxa"/>
          <w:left w:w="5" w:type="dxa"/>
          <w:bottom w:w="0" w:type="dxa"/>
          <w:right w:w="13" w:type="dxa"/>
        </w:tblCellMar>
        <w:tblLook w:val="04a0" w:noHBand="0" w:noVBand="1" w:firstColumn="1" w:lastRow="0" w:lastColumn="0" w:firstRow="1"/>
      </w:tblPr>
      <w:tblGrid>
        <w:gridCol w:w="565"/>
        <w:gridCol w:w="2474"/>
        <w:gridCol w:w="8"/>
        <w:gridCol w:w="29"/>
        <w:gridCol w:w="9534"/>
        <w:gridCol w:w="1548"/>
        <w:gridCol w:w="1854"/>
      </w:tblGrid>
      <w:tr>
        <w:trPr/>
        <w:tc>
          <w:tcPr>
            <w:tcW w:w="565" w:type="dxa"/>
            <w:vMerge w:val="restart"/>
            <w:tcBorders/>
            <w:shd w:color="auto" w:fill="auto" w:val="clear"/>
            <w:vAlign w:val="cente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 xml:space="preserve">№ </w:t>
            </w:r>
            <w:r>
              <w:rPr>
                <w:rFonts w:eastAsia="Times New Roman" w:cs="Times New Roman" w:ascii="Times New Roman" w:hAnsi="Times New Roman"/>
                <w:b/>
                <w:bCs/>
                <w:kern w:val="0"/>
                <w:sz w:val="24"/>
                <w:szCs w:val="24"/>
                <w:lang w:val="ru-RU" w:eastAsia="ru-RU" w:bidi="ar-SA"/>
              </w:rPr>
              <w:t>п/п</w:t>
            </w:r>
          </w:p>
        </w:tc>
        <w:tc>
          <w:tcPr>
            <w:tcW w:w="2482" w:type="dxa"/>
            <w:gridSpan w:val="2"/>
            <w:vMerge w:val="restart"/>
            <w:tcBorders/>
            <w:shd w:color="auto" w:fill="auto" w:val="clear"/>
            <w:tcMar>
              <w:right w:w="108" w:type="dxa"/>
            </w:tcMar>
            <w:vAlign w:val="cente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Наименование параметра</w:t>
            </w:r>
          </w:p>
        </w:tc>
        <w:tc>
          <w:tcPr>
            <w:tcW w:w="9563" w:type="dxa"/>
            <w:gridSpan w:val="2"/>
            <w:vMerge w:val="restart"/>
            <w:tcBorders/>
            <w:shd w:color="auto" w:fill="auto" w:val="clear"/>
            <w:tcMar>
              <w:right w:w="108" w:type="dxa"/>
            </w:tcMar>
            <w:vAlign w:val="cente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Требование заказчика</w:t>
            </w:r>
          </w:p>
        </w:tc>
        <w:tc>
          <w:tcPr>
            <w:tcW w:w="3402" w:type="dxa"/>
            <w:gridSpan w:val="2"/>
            <w:tcBorders/>
            <w:shd w:color="auto" w:fill="auto" w:val="clear"/>
            <w:tcMar>
              <w:right w:w="108" w:type="dxa"/>
            </w:tcMar>
            <w:vAlign w:val="center"/>
          </w:tcPr>
          <w:p>
            <w:pPr>
              <w:pStyle w:val="Normal"/>
              <w:widowControl w:val="false"/>
              <w:spacing w:lineRule="auto" w:line="240" w:before="0" w:after="0"/>
              <w:jc w:val="center"/>
              <w:rPr>
                <w:b/>
                <w:b/>
                <w:bCs/>
              </w:rPr>
            </w:pPr>
            <w:r>
              <w:rPr>
                <w:rFonts w:eastAsia="Times New Roman" w:cs="Times New Roman" w:ascii="Times New Roman" w:hAnsi="Times New Roman"/>
                <w:b/>
                <w:bCs/>
                <w:kern w:val="0"/>
                <w:sz w:val="20"/>
                <w:szCs w:val="20"/>
                <w:lang w:val="ru-RU" w:eastAsia="ru-RU" w:bidi="ar-SA"/>
              </w:rPr>
              <w:t>Способ подтверждения участником соответствия требованиям</w:t>
            </w:r>
          </w:p>
        </w:tc>
      </w:tr>
      <w:tr>
        <w:trPr/>
        <w:tc>
          <w:tcPr>
            <w:tcW w:w="565" w:type="dxa"/>
            <w:vMerge w:val="continue"/>
            <w:tcBorders/>
            <w:shd w:color="auto" w:fill="auto" w:val="clear"/>
            <w:vAlign w:val="center"/>
          </w:tcPr>
          <w:p>
            <w:pPr>
              <w:pStyle w:val="Normal"/>
              <w:widowControl w:val="false"/>
              <w:spacing w:lineRule="auto" w:line="240" w:before="0" w:after="0"/>
              <w:jc w:val="both"/>
              <w:rPr>
                <w:rFonts w:ascii="Times New Roman" w:hAnsi="Times New Roman" w:eastAsia="Times New Roman" w:cs="Times New Roman"/>
                <w:b/>
                <w:b/>
                <w:bCs/>
                <w:sz w:val="20"/>
              </w:rPr>
            </w:pPr>
            <w:r>
              <w:rPr>
                <w:rFonts w:eastAsia="Times New Roman" w:cs="Times New Roman" w:ascii="Times New Roman" w:hAnsi="Times New Roman"/>
                <w:b/>
                <w:bCs/>
                <w:sz w:val="20"/>
              </w:rPr>
            </w:r>
          </w:p>
        </w:tc>
        <w:tc>
          <w:tcPr>
            <w:tcW w:w="2482" w:type="dxa"/>
            <w:gridSpan w:val="2"/>
            <w:vMerge w:val="continue"/>
            <w:tcBorders/>
            <w:shd w:color="auto" w:fill="auto" w:val="clear"/>
            <w:tcMar>
              <w:right w:w="108" w:type="dxa"/>
            </w:tcMar>
            <w:vAlign w:val="center"/>
          </w:tcPr>
          <w:p>
            <w:pPr>
              <w:pStyle w:val="Normal"/>
              <w:widowControl w:val="false"/>
              <w:spacing w:lineRule="auto" w:line="240" w:before="0" w:after="0"/>
              <w:jc w:val="both"/>
              <w:rPr>
                <w:rFonts w:ascii="Times New Roman" w:hAnsi="Times New Roman" w:eastAsia="Times New Roman" w:cs="Times New Roman"/>
                <w:b/>
                <w:b/>
                <w:bCs/>
                <w:sz w:val="20"/>
              </w:rPr>
            </w:pPr>
            <w:r>
              <w:rPr>
                <w:rFonts w:eastAsia="Times New Roman" w:cs="Times New Roman" w:ascii="Times New Roman" w:hAnsi="Times New Roman"/>
                <w:b/>
                <w:bCs/>
                <w:sz w:val="20"/>
              </w:rPr>
            </w:r>
          </w:p>
        </w:tc>
        <w:tc>
          <w:tcPr>
            <w:tcW w:w="9563" w:type="dxa"/>
            <w:gridSpan w:val="2"/>
            <w:vMerge w:val="continue"/>
            <w:tcBorders/>
            <w:shd w:color="auto" w:fill="auto" w:val="clear"/>
            <w:tcMar>
              <w:right w:w="108" w:type="dxa"/>
            </w:tcMar>
            <w:vAlign w:val="center"/>
          </w:tcPr>
          <w:p>
            <w:pPr>
              <w:pStyle w:val="Normal"/>
              <w:widowControl w:val="false"/>
              <w:spacing w:lineRule="auto" w:line="240" w:before="0" w:after="0"/>
              <w:jc w:val="both"/>
              <w:rPr>
                <w:rFonts w:ascii="Times New Roman" w:hAnsi="Times New Roman" w:eastAsia="Times New Roman" w:cs="Times New Roman"/>
                <w:b/>
                <w:b/>
                <w:bCs/>
                <w:sz w:val="20"/>
              </w:rPr>
            </w:pPr>
            <w:r>
              <w:rPr>
                <w:rFonts w:eastAsia="Times New Roman" w:cs="Times New Roman" w:ascii="Times New Roman" w:hAnsi="Times New Roman"/>
                <w:b/>
                <w:bCs/>
                <w:sz w:val="20"/>
              </w:rPr>
            </w:r>
          </w:p>
        </w:tc>
        <w:tc>
          <w:tcPr>
            <w:tcW w:w="3402" w:type="dxa"/>
            <w:gridSpan w:val="2"/>
            <w:tcBorders/>
            <w:shd w:color="auto" w:fill="auto" w:val="clear"/>
            <w:tcMar>
              <w:right w:w="108" w:type="dxa"/>
            </w:tcMar>
            <w:vAlign w:val="center"/>
          </w:tcPr>
          <w:p>
            <w:pPr>
              <w:pStyle w:val="Normal"/>
              <w:widowControl w:val="false"/>
              <w:spacing w:lineRule="auto" w:line="240" w:before="0" w:after="0"/>
              <w:jc w:val="center"/>
              <w:rPr>
                <w:b/>
                <w:b/>
                <w:bCs/>
              </w:rPr>
            </w:pPr>
            <w:r>
              <w:rPr>
                <w:rFonts w:eastAsia="Times New Roman" w:cs="Times New Roman" w:ascii="Times New Roman" w:hAnsi="Times New Roman"/>
                <w:b/>
                <w:bCs/>
                <w:kern w:val="0"/>
                <w:sz w:val="20"/>
                <w:szCs w:val="20"/>
                <w:lang w:val="ru-RU" w:eastAsia="ru-RU" w:bidi="ar-SA"/>
              </w:rPr>
              <w:t>Согласие с требованием/ указание характеристик</w:t>
            </w:r>
          </w:p>
        </w:tc>
      </w:tr>
      <w:tr>
        <w:trPr/>
        <w:tc>
          <w:tcPr>
            <w:tcW w:w="565" w:type="dxa"/>
            <w:tcBorders/>
            <w:shd w:color="auto" w:fill="auto" w:val="clear"/>
            <w:vAlign w:val="cente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1</w:t>
            </w:r>
          </w:p>
        </w:tc>
        <w:tc>
          <w:tcPr>
            <w:tcW w:w="2482" w:type="dxa"/>
            <w:gridSpan w:val="2"/>
            <w:tcBorders/>
            <w:shd w:color="auto" w:fill="auto" w:val="clear"/>
            <w:tcMar>
              <w:right w:w="108" w:type="dxa"/>
            </w:tcMar>
            <w:vAlign w:val="cente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2</w:t>
            </w:r>
          </w:p>
        </w:tc>
        <w:tc>
          <w:tcPr>
            <w:tcW w:w="9563" w:type="dxa"/>
            <w:gridSpan w:val="2"/>
            <w:tcBorders/>
            <w:shd w:color="auto" w:fill="auto" w:val="clear"/>
            <w:tcMar>
              <w:right w:w="108" w:type="dxa"/>
            </w:tcMar>
            <w:vAlign w:val="cente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3</w:t>
            </w:r>
          </w:p>
        </w:tc>
        <w:tc>
          <w:tcPr>
            <w:tcW w:w="3402" w:type="dxa"/>
            <w:gridSpan w:val="2"/>
            <w:tcBorders/>
            <w:shd w:color="auto" w:fill="auto" w:val="clear"/>
            <w:tcMar>
              <w:right w:w="108" w:type="dxa"/>
            </w:tcMar>
            <w:vAlign w:val="cente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4</w:t>
            </w:r>
          </w:p>
        </w:tc>
      </w:tr>
      <w:tr>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1</w:t>
            </w:r>
          </w:p>
        </w:tc>
        <w:tc>
          <w:tcPr>
            <w:tcW w:w="15447" w:type="dxa"/>
            <w:gridSpan w:val="6"/>
            <w:tcBorders/>
            <w:shd w:color="auto" w:fill="auto" w:val="clear"/>
            <w:tcMar>
              <w:right w:w="108" w:type="dxa"/>
            </w:tcMar>
            <w:vAlign w:val="center"/>
          </w:tcPr>
          <w:p>
            <w:pPr>
              <w:pStyle w:val="Normal"/>
              <w:widowControl w:val="false"/>
              <w:spacing w:lineRule="auto" w:line="240" w:before="0" w:after="0"/>
              <w:jc w:val="both"/>
              <w:rPr>
                <w:b/>
                <w:b/>
                <w:bCs/>
                <w:sz w:val="24"/>
                <w:szCs w:val="24"/>
              </w:rPr>
            </w:pPr>
            <w:r>
              <w:rPr>
                <w:rFonts w:eastAsia="Times New Roman" w:cs="Times New Roman" w:ascii="Times New Roman" w:hAnsi="Times New Roman"/>
                <w:b/>
                <w:bCs/>
                <w:kern w:val="0"/>
                <w:sz w:val="24"/>
                <w:szCs w:val="24"/>
                <w:lang w:val="ru-RU" w:eastAsia="ru-RU" w:bidi="ar-SA"/>
              </w:rPr>
              <w:t>Требования к выполнению работ</w:t>
            </w:r>
          </w:p>
        </w:tc>
      </w:tr>
      <w:tr>
        <w:trPr>
          <w:trHeight w:val="462"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1.1.</w:t>
            </w:r>
          </w:p>
        </w:tc>
        <w:tc>
          <w:tcPr>
            <w:tcW w:w="12045" w:type="dxa"/>
            <w:gridSpan w:val="4"/>
            <w:tcBorders/>
            <w:shd w:color="auto" w:fill="auto" w:val="clear"/>
            <w:tcMar>
              <w:right w:w="108" w:type="dxa"/>
            </w:tcMar>
          </w:tcPr>
          <w:p>
            <w:pPr>
              <w:pStyle w:val="Normal"/>
              <w:widowControl w:val="false"/>
              <w:tabs>
                <w:tab w:val="clear" w:pos="708"/>
                <w:tab w:val="left" w:pos="567" w:leader="none"/>
              </w:tabs>
              <w:spacing w:lineRule="auto" w:line="240" w:before="0" w:after="0"/>
              <w:jc w:val="both"/>
              <w:rPr>
                <w:b/>
                <w:b/>
                <w:sz w:val="24"/>
                <w:szCs w:val="24"/>
              </w:rPr>
            </w:pPr>
            <w:r>
              <w:rPr>
                <w:rFonts w:eastAsia="Times New Roman" w:cs="Times New Roman" w:ascii="Times New Roman" w:hAnsi="Times New Roman"/>
                <w:b/>
                <w:kern w:val="0"/>
                <w:sz w:val="24"/>
                <w:szCs w:val="24"/>
                <w:lang w:val="ru-RU" w:eastAsia="ru-RU" w:bidi="ar-SA"/>
              </w:rPr>
              <w:t>Общие требования выполнения работ</w:t>
            </w:r>
          </w:p>
        </w:tc>
        <w:tc>
          <w:tcPr>
            <w:tcW w:w="3402" w:type="dxa"/>
            <w:gridSpan w:val="2"/>
            <w:tcBorders/>
            <w:shd w:color="auto" w:fill="auto" w:val="clear"/>
            <w:tcMar>
              <w:right w:w="108" w:type="dxa"/>
            </w:tcM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kern w:val="0"/>
                <w:sz w:val="24"/>
                <w:szCs w:val="24"/>
                <w:lang w:val="ru-RU" w:eastAsia="ru-RU" w:bidi="ar-SA"/>
              </w:rPr>
              <w:t>-//-</w:t>
            </w:r>
          </w:p>
        </w:tc>
      </w:tr>
      <w:tr>
        <w:trPr>
          <w:trHeight w:val="462"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1.1.1</w:t>
            </w:r>
          </w:p>
        </w:tc>
        <w:tc>
          <w:tcPr>
            <w:tcW w:w="2474" w:type="dxa"/>
            <w:tcBorders/>
            <w:shd w:color="auto" w:fill="auto" w:val="clear"/>
            <w:tcMar>
              <w:right w:w="108" w:type="dxa"/>
            </w:tcMar>
          </w:tcPr>
          <w:p>
            <w:pPr>
              <w:pStyle w:val="Normal"/>
              <w:widowControl w:val="false"/>
              <w:tabs>
                <w:tab w:val="clear" w:pos="708"/>
                <w:tab w:val="left" w:pos="567" w:leader="none"/>
              </w:tabs>
              <w:spacing w:lineRule="auto" w:line="240" w:before="0" w:after="0"/>
              <w:jc w:val="center"/>
              <w:rPr>
                <w:i/>
                <w:i/>
                <w:sz w:val="24"/>
                <w:szCs w:val="24"/>
              </w:rPr>
            </w:pPr>
            <w:r>
              <w:rPr>
                <w:rFonts w:eastAsia="Times New Roman" w:cs="Times New Roman" w:ascii="Times New Roman" w:hAnsi="Times New Roman"/>
                <w:i/>
                <w:kern w:val="0"/>
                <w:sz w:val="24"/>
                <w:szCs w:val="24"/>
                <w:lang w:val="ru-RU" w:eastAsia="ru-RU" w:bidi="ar-SA"/>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9571" w:type="dxa"/>
            <w:gridSpan w:val="3"/>
            <w:tcBorders/>
            <w:shd w:color="auto" w:fill="auto" w:val="clear"/>
            <w:tcMar>
              <w:right w:w="108" w:type="dxa"/>
            </w:tcMar>
          </w:tcPr>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При выполнении работ руководствоваться:</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1. Земельным кодексом Российской Федерации;</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2. Градостроительным кодексом РФ;</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3. Гражданским кодексом РФ;</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4. Лесным кодексом РФ;</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5. Федеральным законом от 13.07.2015 № 218-ФЗ «О государственной регистрации недвижимости»;</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6. Федеральный закон от 24.07.2007 г. № 221-ФЗ «О кадастровой деятельности»;</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7. Федеральным законом от 30.12.2015 N 431-ФЗ «О геодезии, картографии и пространственных данных и о внесении изменений в отдельные законодательные акты Российской Федерации»;</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8. Приказом Росреестра от 20.10.2020 N П/0387 «Об утверждении Порядка установления местных систем координат».</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9. Приказом Росреестра от 19.04.2022 N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10.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11.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12.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13. Постановлением Правительства РФ от 24.11.2016 N 1240 «Об установлении государственных систем координат, государственной системы высот и государственной гравиметрической системы»;</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15. Нормами отвода земель, для электрических сетей напряжением 0,38-750 кВ № 14278тм-т1;</w:t>
            </w:r>
          </w:p>
          <w:p>
            <w:pPr>
              <w:pStyle w:val="ListParagraph"/>
              <w:widowControl w:val="false"/>
              <w:tabs>
                <w:tab w:val="clear" w:pos="708"/>
                <w:tab w:val="left" w:pos="466" w:leader="none"/>
              </w:tabs>
              <w:spacing w:before="0" w:after="0"/>
              <w:ind w:left="324" w:hanging="0"/>
              <w:jc w:val="both"/>
              <w:rPr>
                <w:sz w:val="24"/>
                <w:szCs w:val="24"/>
              </w:rPr>
            </w:pPr>
            <w:r>
              <w:rPr>
                <w:iCs/>
                <w:spacing w:val="-7"/>
                <w:kern w:val="0"/>
                <w:sz w:val="24"/>
                <w:szCs w:val="24"/>
                <w:lang w:bidi="ar-SA"/>
              </w:rPr>
              <w:t>16.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tc>
        <w:tc>
          <w:tcPr>
            <w:tcW w:w="3402" w:type="dxa"/>
            <w:gridSpan w:val="2"/>
            <w:vMerge w:val="restart"/>
            <w:tcBorders/>
            <w:shd w:color="auto" w:fill="auto" w:val="clear"/>
            <w:tcMar>
              <w:right w:w="108" w:type="dxa"/>
            </w:tcMar>
          </w:tcPr>
          <w:p>
            <w:pPr>
              <w:pStyle w:val="Normal"/>
              <w:widowControl w:val="false"/>
              <w:spacing w:lineRule="auto" w:line="240" w:before="0" w:after="0"/>
              <w:jc w:val="center"/>
              <w:rPr>
                <w:kern w:val="0"/>
                <w:lang w:val="ru-RU" w:eastAsia="ru-RU" w:bidi="ar-SA"/>
              </w:rPr>
            </w:pPr>
            <w:r>
              <w:rPr>
                <w:rFonts w:eastAsia="Times New Roman" w:cs="Times New Roman" w:ascii="Times New Roman" w:hAnsi="Times New Roman"/>
                <w:i/>
                <w:iCs/>
                <w:kern w:val="0"/>
                <w:sz w:val="24"/>
                <w:szCs w:val="24"/>
                <w:lang w:val="ru-RU" w:eastAsia="ru-RU" w:bidi="ar-SA"/>
              </w:rPr>
              <w:t>Участник должен предоставить в заявке согласие закупить материалы и оборудование, и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trPr>
          <w:trHeight w:val="462"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1.1.2</w:t>
            </w:r>
          </w:p>
        </w:tc>
        <w:tc>
          <w:tcPr>
            <w:tcW w:w="2474" w:type="dxa"/>
            <w:tcBorders/>
            <w:shd w:color="auto" w:fill="auto" w:val="clear"/>
            <w:tcMar>
              <w:right w:w="108" w:type="dxa"/>
            </w:tcMar>
          </w:tcPr>
          <w:p>
            <w:pPr>
              <w:pStyle w:val="Normal"/>
              <w:widowControl w:val="false"/>
              <w:tabs>
                <w:tab w:val="clear" w:pos="708"/>
                <w:tab w:val="left" w:pos="567" w:leader="none"/>
              </w:tabs>
              <w:spacing w:lineRule="auto" w:line="240" w:before="0" w:after="0"/>
              <w:jc w:val="center"/>
              <w:rPr>
                <w:i/>
                <w:i/>
                <w:sz w:val="24"/>
                <w:szCs w:val="24"/>
              </w:rPr>
            </w:pPr>
            <w:r>
              <w:rPr>
                <w:rFonts w:eastAsia="Times New Roman" w:cs="Times New Roman" w:ascii="Times New Roman" w:hAnsi="Times New Roman"/>
                <w:i/>
                <w:kern w:val="0"/>
                <w:sz w:val="24"/>
                <w:szCs w:val="24"/>
                <w:lang w:val="ru-RU" w:eastAsia="ru-RU" w:bidi="ar-SA"/>
              </w:rPr>
              <w:t>Требования к оформлению ПУД</w:t>
            </w:r>
          </w:p>
        </w:tc>
        <w:tc>
          <w:tcPr>
            <w:tcW w:w="9571" w:type="dxa"/>
            <w:gridSpan w:val="3"/>
            <w:tcBorders/>
            <w:shd w:color="auto" w:fill="auto" w:val="clear"/>
            <w:tcMar>
              <w:right w:w="108" w:type="dxa"/>
            </w:tcMar>
          </w:tcPr>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1.  ПУД на ЗУ должны быть выданы уполномоченным органом власти и быть действующими, в период реализации объекта.</w:t>
            </w:r>
          </w:p>
          <w:p>
            <w:pPr>
              <w:pStyle w:val="Standard"/>
              <w:widowControl w:val="false"/>
              <w:shd w:val="clear" w:color="auto" w:fill="FFFFFF"/>
              <w:suppressAutoHyphens w:val="true"/>
              <w:spacing w:before="0" w:after="0"/>
              <w:ind w:firstLine="567"/>
              <w:jc w:val="both"/>
              <w:rPr>
                <w:kern w:val="0"/>
                <w:lang w:val="ru-RU" w:eastAsia="ru-RU" w:bidi="ar-SA"/>
              </w:rPr>
            </w:pPr>
            <w:r>
              <w:rPr>
                <w:rFonts w:ascii="Times New Roman" w:hAnsi="Times New Roman"/>
                <w:iCs/>
                <w:spacing w:val="-7"/>
                <w:kern w:val="0"/>
                <w:sz w:val="24"/>
                <w:szCs w:val="24"/>
                <w:lang w:val="ru-RU" w:eastAsia="ru-RU" w:bidi="ar-SA"/>
              </w:rPr>
              <w:t>2. Сведения о границах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Минэкономразвития России от 13.01.2021 № П/0004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в электронном формате на CD диске в формате XML.</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3. Ходатайство об установлении публичного сервитута подготовить в соответствии с Приказом Росреестра от 19.04.2022 N П/0150 (ред. от 18.10.2022)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4. Графическое описание местоположения границ, соглашение об установлении сервитута на части лесного участка изготовить в количестве 2 (двух) экземплярах на бумажном носителе и в форме электронного документа в виде файлов в формате *pdf (графическая часть) и *.doc (текстовая часть).</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5. Проект освоения лесов в соответствии с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6. Лесная декларация в соответствии с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 отчеты в установленной форме (1 ИЛ, 1 ОЛ, 1 ЗЛ, 1 ВЛ и др).</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7. Проект лесовосстановления в соответствии с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8. Графическую информацию оформить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9. Координаты границ формируемых земельных участков определяются в системе   МСК-25.</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 xml:space="preserve">10.  В случае получения Заказчиком отказа на выдачу разрешений на использование земель для размещения вышеуказанных объектов от органа местного самоуправления,  уполномоченного на предоставление земельных участков,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  </w:t>
            </w:r>
          </w:p>
          <w:p>
            <w:pPr>
              <w:pStyle w:val="ListParagraph"/>
              <w:widowControl w:val="false"/>
              <w:tabs>
                <w:tab w:val="clear" w:pos="708"/>
                <w:tab w:val="left" w:pos="1069" w:leader="none"/>
              </w:tabs>
              <w:spacing w:before="0" w:after="0"/>
              <w:ind w:left="0" w:firstLine="643"/>
              <w:jc w:val="both"/>
              <w:rPr>
                <w:kern w:val="0"/>
                <w:lang w:bidi="ar-SA"/>
              </w:rPr>
            </w:pPr>
            <w:r>
              <w:rPr>
                <w:iCs/>
                <w:spacing w:val="-7"/>
                <w:kern w:val="0"/>
                <w:sz w:val="24"/>
                <w:szCs w:val="24"/>
                <w:lang w:bidi="ar-SA"/>
              </w:rPr>
              <w:t>11. Разрешения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p>
            <w:pPr>
              <w:pStyle w:val="ListParagraph"/>
              <w:widowControl w:val="false"/>
              <w:tabs>
                <w:tab w:val="clear" w:pos="708"/>
                <w:tab w:val="left" w:pos="1069" w:leader="none"/>
              </w:tabs>
              <w:spacing w:before="0" w:after="0"/>
              <w:ind w:left="0" w:firstLine="657"/>
              <w:jc w:val="both"/>
              <w:rPr>
                <w:kern w:val="0"/>
                <w:lang w:bidi="ar-SA"/>
              </w:rPr>
            </w:pPr>
            <w:r>
              <w:rPr>
                <w:kern w:val="0"/>
                <w:sz w:val="24"/>
                <w:szCs w:val="24"/>
                <w:lang w:val="ru-RU" w:eastAsia="ru-RU" w:bidi="ar-SA"/>
              </w:rPr>
              <w:t xml:space="preserve">12. </w:t>
            </w:r>
            <w:r>
              <w:rPr>
                <w:kern w:val="0"/>
                <w:sz w:val="24"/>
                <w:szCs w:val="24"/>
                <w:lang w:eastAsia="ru-RU" w:bidi="ar-SA"/>
              </w:rPr>
              <w:t xml:space="preserve">Информация об объемах лесных насаждениях, подлежащих вырубке, оформляется по форме Приложения </w:t>
            </w:r>
            <w:r>
              <w:rPr>
                <w:kern w:val="0"/>
                <w:sz w:val="24"/>
                <w:szCs w:val="24"/>
                <w:lang w:val="ru-RU" w:eastAsia="ru-RU" w:bidi="ar-SA"/>
              </w:rPr>
              <w:t>5</w:t>
            </w:r>
            <w:r>
              <w:rPr>
                <w:kern w:val="0"/>
                <w:sz w:val="24"/>
                <w:szCs w:val="24"/>
                <w:lang w:eastAsia="ru-RU" w:bidi="ar-SA"/>
              </w:rPr>
              <w:t>.</w:t>
            </w:r>
          </w:p>
          <w:p>
            <w:pPr>
              <w:pStyle w:val="ListParagraph"/>
              <w:widowControl w:val="false"/>
              <w:tabs>
                <w:tab w:val="clear" w:pos="708"/>
                <w:tab w:val="left" w:pos="1069" w:leader="none"/>
              </w:tabs>
              <w:spacing w:before="0" w:after="0"/>
              <w:ind w:left="0" w:firstLine="657"/>
              <w:jc w:val="both"/>
              <w:rPr>
                <w:kern w:val="0"/>
                <w:lang w:bidi="ar-SA"/>
              </w:rPr>
            </w:pPr>
            <w:r>
              <w:rPr>
                <w:iCs/>
                <w:spacing w:val="-7"/>
                <w:kern w:val="0"/>
                <w:sz w:val="24"/>
                <w:szCs w:val="24"/>
                <w:lang w:val="ru-RU" w:eastAsia="ru-RU" w:bidi="ar-SA"/>
              </w:rPr>
              <w:t>13.</w:t>
            </w:r>
            <w:r>
              <w:rPr>
                <w:iCs/>
                <w:spacing w:val="-7"/>
                <w:kern w:val="0"/>
                <w:sz w:val="24"/>
                <w:szCs w:val="24"/>
                <w:lang w:eastAsia="ru-RU" w:bidi="ar-SA"/>
              </w:rPr>
              <w:t xml:space="preserve"> Информация о виде рекультивации земельного участка оформляется по форме Приложения </w:t>
            </w:r>
            <w:r>
              <w:rPr>
                <w:iCs/>
                <w:spacing w:val="-7"/>
                <w:kern w:val="0"/>
                <w:sz w:val="24"/>
                <w:szCs w:val="24"/>
                <w:lang w:val="ru-RU" w:eastAsia="ru-RU" w:bidi="ar-SA"/>
              </w:rPr>
              <w:t>6</w:t>
            </w:r>
            <w:r>
              <w:rPr>
                <w:iCs/>
                <w:spacing w:val="-7"/>
                <w:kern w:val="0"/>
                <w:sz w:val="24"/>
                <w:szCs w:val="24"/>
                <w:lang w:eastAsia="ru-RU" w:bidi="ar-SA"/>
              </w:rPr>
              <w:t>.</w:t>
            </w:r>
          </w:p>
          <w:p>
            <w:pPr>
              <w:pStyle w:val="ListParagraph"/>
              <w:widowControl w:val="false"/>
              <w:tabs>
                <w:tab w:val="clear" w:pos="708"/>
                <w:tab w:val="left" w:pos="1069" w:leader="none"/>
              </w:tabs>
              <w:spacing w:before="0" w:after="0"/>
              <w:ind w:left="0" w:firstLine="657"/>
              <w:jc w:val="both"/>
              <w:rPr>
                <w:kern w:val="0"/>
                <w:lang w:bidi="ar-SA"/>
              </w:rPr>
            </w:pPr>
            <w:r>
              <w:rPr>
                <w:iCs/>
                <w:spacing w:val="-7"/>
                <w:kern w:val="0"/>
                <w:sz w:val="24"/>
                <w:szCs w:val="24"/>
                <w:lang w:eastAsia="ru-RU" w:bidi="ar-SA"/>
              </w:rPr>
              <w:t>14.</w:t>
            </w:r>
            <w:r>
              <w:rPr>
                <w:spacing w:val="-7"/>
                <w:kern w:val="0"/>
                <w:sz w:val="24"/>
                <w:szCs w:val="24"/>
                <w:lang w:eastAsia="ru-RU" w:bidi="ar-SA"/>
              </w:rPr>
              <w:t xml:space="preserve"> </w:t>
            </w:r>
            <w:r>
              <w:rPr>
                <w:color w:val="333333"/>
                <w:spacing w:val="-7"/>
                <w:kern w:val="0"/>
                <w:sz w:val="24"/>
                <w:szCs w:val="24"/>
                <w:lang w:eastAsia="ru-RU" w:bidi="ar-SA"/>
              </w:rPr>
              <w:t xml:space="preserve">Отчет об оценке рыночной стоимости в бумажном насителе в 3-х экземпляров </w:t>
            </w:r>
          </w:p>
        </w:tc>
        <w:tc>
          <w:tcPr>
            <w:tcW w:w="3402" w:type="dxa"/>
            <w:gridSpan w:val="2"/>
            <w:vMerge w:val="continue"/>
            <w:tcBorders/>
            <w:shd w:color="auto" w:fill="auto" w:val="clear"/>
            <w:tcMar>
              <w:right w:w="108" w:type="dxa"/>
            </w:tcMar>
          </w:tcPr>
          <w:p>
            <w:pPr>
              <w:pStyle w:val="Normal"/>
              <w:widowControl w:val="false"/>
              <w:spacing w:lineRule="auto" w:line="240" w:before="0" w:after="0"/>
              <w:jc w:val="center"/>
              <w:rPr>
                <w:i/>
                <w:i/>
                <w:iCs/>
                <w:sz w:val="24"/>
              </w:rPr>
            </w:pPr>
            <w:r>
              <w:rPr>
                <w:i/>
                <w:iCs/>
                <w:sz w:val="24"/>
              </w:rPr>
            </w:r>
          </w:p>
        </w:tc>
      </w:tr>
      <w:tr>
        <w:trPr>
          <w:trHeight w:val="462"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1.1.3</w:t>
            </w:r>
          </w:p>
        </w:tc>
        <w:tc>
          <w:tcPr>
            <w:tcW w:w="2474" w:type="dxa"/>
            <w:tcBorders/>
            <w:shd w:color="auto" w:fill="auto" w:val="clear"/>
            <w:tcMar>
              <w:right w:w="108" w:type="dxa"/>
            </w:tcMar>
          </w:tcPr>
          <w:p>
            <w:pPr>
              <w:pStyle w:val="Normal"/>
              <w:widowControl w:val="false"/>
              <w:tabs>
                <w:tab w:val="clear" w:pos="708"/>
                <w:tab w:val="left" w:pos="567" w:leader="none"/>
              </w:tabs>
              <w:spacing w:lineRule="auto" w:line="240" w:before="0" w:after="0"/>
              <w:jc w:val="center"/>
              <w:rPr>
                <w:i/>
                <w:i/>
                <w:sz w:val="24"/>
                <w:szCs w:val="24"/>
              </w:rPr>
            </w:pPr>
            <w:r>
              <w:rPr>
                <w:rFonts w:eastAsia="Times New Roman" w:cs="Times New Roman" w:ascii="Times New Roman" w:hAnsi="Times New Roman"/>
                <w:i/>
                <w:kern w:val="0"/>
                <w:sz w:val="24"/>
                <w:szCs w:val="24"/>
                <w:lang w:val="ru-RU" w:eastAsia="ru-RU" w:bidi="ar-SA"/>
              </w:rPr>
              <w:t>Соблюдение требований технических регламентов, иных нормативных правовых актов и (или) нормативных документов при выполнении проектных работ</w:t>
            </w:r>
          </w:p>
        </w:tc>
        <w:tc>
          <w:tcPr>
            <w:tcW w:w="9571" w:type="dxa"/>
            <w:gridSpan w:val="3"/>
            <w:tcBorders/>
            <w:shd w:color="auto" w:fill="auto" w:val="clear"/>
            <w:tcMar>
              <w:right w:w="108" w:type="dxa"/>
            </w:tcMar>
          </w:tcPr>
          <w:p>
            <w:pPr>
              <w:pStyle w:val="Standard"/>
              <w:widowControl w:val="false"/>
              <w:tabs>
                <w:tab w:val="clear" w:pos="708"/>
                <w:tab w:val="left" w:pos="0" w:leader="none"/>
              </w:tabs>
              <w:suppressAutoHyphens w:val="true"/>
              <w:spacing w:before="0" w:after="0"/>
              <w:jc w:val="both"/>
              <w:rPr>
                <w:rFonts w:ascii="Times New Roman" w:hAnsi="Times New Roman"/>
                <w:sz w:val="24"/>
                <w:szCs w:val="24"/>
              </w:rPr>
            </w:pPr>
            <w:r>
              <w:rPr>
                <w:rFonts w:ascii="Times New Roman" w:hAnsi="Times New Roman"/>
                <w:kern w:val="0"/>
                <w:sz w:val="24"/>
                <w:szCs w:val="24"/>
                <w:lang w:val="ru-RU" w:eastAsia="ru-RU" w:bidi="ar-SA"/>
              </w:rPr>
              <w:t>Основные нормативно-технические документы (НТД), определяющие требования к проектной и рабочей документации:</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Градостроительный кодекс РФ;</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ФЗ «Об охране окружающей среды» от 10.01.2002 № 7-ФЗ (действующая редакция);</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ФЗ от 22.07.2008 № 123-ФЗ «Технический регламент о требованиях пожарной безопасности» (действующая редакция);</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ФЗ «Об электроэнергетике» от 26.03.2003 № 35-ФЗ (с изменениями);</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Постановление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Постановление Правительства РФ от 16.02.2008г. № 87 «О составе разделов проектной документации и требованиях к их содержанию»;</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Постановление Правительства РФ от 19 января 2006 г. N 20 «Об инженерных изысканиях для подготовки проектной документации, строительства, реконструкции объектов капитального строительства» (с изменениями);</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Национальный стандарт Российской Федерации ГОСТ Р 21.101-2020 Система проектной документации для строительства. Основные требования к проектной и рабочей документации;</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Национальный стандарт Российской Федерации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Национальный стандарт Российской Федерации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Национальный стандарт Российской Федерации ГОСТ Р 56303-2014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требования к графическому исполнению»;</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МДС 12-81.2007 Методические рекомендации по разработке и оформлению проекта организации строительства и проекта производства работ;</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Приказ Минстроя от 04.08.2020 N421/пр,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pPr>
              <w:pStyle w:val="Standard"/>
              <w:widowControl w:val="false"/>
              <w:tabs>
                <w:tab w:val="clear" w:pos="708"/>
                <w:tab w:val="left" w:pos="0" w:leader="none"/>
              </w:tabs>
              <w:suppressAutoHyphens w:val="true"/>
              <w:spacing w:before="0" w:after="0"/>
              <w:ind w:firstLine="567"/>
              <w:jc w:val="both"/>
              <w:rPr>
                <w:kern w:val="0"/>
                <w:lang w:val="ru-RU" w:eastAsia="ru-RU" w:bidi="ar-SA"/>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Приказ Министерства энергетики РФ от 4.10.2022 № 1070 «Об утверждении правил технической эксплуатации электрических станций и сетей Российской Федерации» (с изменениями);</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ПУЭ (действующее издание);</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ПТЭ (действующее издание);</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утвержденные приказом Минэнерго РФ от 03.08.2018 № 630;</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РД 153-34.0-20.409-99 «Руководящие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СП 48.13330.2019. Организация строительства (с изменениями);</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СП 47.13330.2016. Свод правил. Инженерные изыскания для строительства. Основные положения;</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СП 317.1325800.2017. Инженерно-геодезические изыскания для строительства. Общие правила производства работ;</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Техническая политика Группы РусГидро;</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Региональные карты климатического районирования (РККР) Приморского края, утвержденные Приказами АО «ДРСК» №163 от 15.04.2021 и №346 от 18.10.2021 считать приоритетными относительно других источников аналогичной информации (Правила устройства электроустановок; РККР, разработанные ГУ «Главная геофизическая обсерватория им. А.И. Воейкова» и др.)</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w:t>
            </w:r>
            <w:r>
              <w:rPr>
                <w:rFonts w:ascii="Times New Roman" w:hAnsi="Times New Roman"/>
                <w:bCs/>
                <w:kern w:val="0"/>
                <w:sz w:val="24"/>
                <w:szCs w:val="24"/>
                <w:lang w:val="ru-RU" w:eastAsia="ru-RU" w:bidi="ar-SA"/>
              </w:rPr>
              <w:tab/>
              <w:t>Правила технологического функционирования электроэнергетических систем, утвержденные Постановление Правительства РФ от 13.08.2018 № 937;</w:t>
            </w:r>
          </w:p>
          <w:p>
            <w:pPr>
              <w:pStyle w:val="ListParagraph"/>
              <w:widowControl w:val="false"/>
              <w:tabs>
                <w:tab w:val="clear" w:pos="708"/>
                <w:tab w:val="left" w:pos="785" w:leader="none"/>
              </w:tabs>
              <w:spacing w:before="0" w:after="0"/>
              <w:ind w:left="0" w:firstLine="324"/>
              <w:jc w:val="both"/>
              <w:rPr>
                <w:sz w:val="24"/>
                <w:szCs w:val="24"/>
                <w:lang w:eastAsia="ru-RU"/>
              </w:rPr>
            </w:pPr>
            <w:r>
              <w:rPr>
                <w:bCs/>
                <w:kern w:val="0"/>
                <w:sz w:val="24"/>
                <w:szCs w:val="24"/>
                <w:lang w:bidi="ar-SA"/>
              </w:rPr>
              <w:t>Данный список НТД не является полным и окончательным. При проектировании необходимо руководствоваться последними редакциями нормативно-технических и законодательных документов РФ, необходимых и действующих на момент разработки проектной документации.</w:t>
            </w:r>
          </w:p>
        </w:tc>
        <w:tc>
          <w:tcPr>
            <w:tcW w:w="3402" w:type="dxa"/>
            <w:gridSpan w:val="2"/>
            <w:vMerge w:val="continue"/>
            <w:tcBorders/>
            <w:shd w:color="auto" w:fill="auto" w:val="clear"/>
            <w:tcMar>
              <w:right w:w="108" w:type="dxa"/>
            </w:tcMar>
          </w:tcPr>
          <w:p>
            <w:pPr>
              <w:pStyle w:val="Normal"/>
              <w:widowControl w:val="false"/>
              <w:spacing w:lineRule="auto" w:line="240" w:before="0" w:after="0"/>
              <w:jc w:val="center"/>
              <w:rPr>
                <w:b/>
                <w:b/>
                <w:sz w:val="24"/>
              </w:rPr>
            </w:pPr>
            <w:r>
              <w:rPr>
                <w:b/>
                <w:sz w:val="24"/>
              </w:rPr>
            </w:r>
          </w:p>
        </w:tc>
      </w:tr>
      <w:tr>
        <w:trPr>
          <w:trHeight w:val="462"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1.1.4</w:t>
            </w:r>
          </w:p>
        </w:tc>
        <w:tc>
          <w:tcPr>
            <w:tcW w:w="2474" w:type="dxa"/>
            <w:tcBorders/>
            <w:shd w:color="auto" w:fill="auto" w:val="clear"/>
            <w:tcMar>
              <w:right w:w="108" w:type="dxa"/>
            </w:tcMar>
          </w:tcPr>
          <w:p>
            <w:pPr>
              <w:pStyle w:val="Normal"/>
              <w:widowControl w:val="false"/>
              <w:tabs>
                <w:tab w:val="clear" w:pos="708"/>
                <w:tab w:val="left" w:pos="567" w:leader="none"/>
              </w:tabs>
              <w:spacing w:lineRule="auto" w:line="240" w:before="0" w:after="0"/>
              <w:jc w:val="center"/>
              <w:rPr>
                <w:i/>
                <w:i/>
                <w:sz w:val="24"/>
                <w:szCs w:val="24"/>
              </w:rPr>
            </w:pPr>
            <w:r>
              <w:rPr>
                <w:rFonts w:eastAsia="Times New Roman" w:cs="Times New Roman" w:ascii="Times New Roman" w:hAnsi="Times New Roman"/>
                <w:i/>
                <w:iCs/>
                <w:spacing w:val="4"/>
                <w:kern w:val="0"/>
                <w:sz w:val="24"/>
                <w:szCs w:val="24"/>
                <w:lang w:val="ru-RU" w:eastAsia="ru-RU" w:bidi="ar-SA"/>
              </w:rPr>
              <w:t>Требования к выполнению рабочей документации</w:t>
            </w:r>
          </w:p>
        </w:tc>
        <w:tc>
          <w:tcPr>
            <w:tcW w:w="9571" w:type="dxa"/>
            <w:gridSpan w:val="3"/>
            <w:tcBorders/>
            <w:shd w:color="auto" w:fill="auto" w:val="clear"/>
            <w:tcMar>
              <w:right w:w="108" w:type="dxa"/>
            </w:tcMar>
          </w:tcPr>
          <w:p>
            <w:pPr>
              <w:pStyle w:val="Standard"/>
              <w:widowControl w:val="false"/>
              <w:tabs>
                <w:tab w:val="clear" w:pos="708"/>
                <w:tab w:val="left" w:pos="993" w:leader="none"/>
              </w:tabs>
              <w:suppressAutoHyphens w:val="true"/>
              <w:spacing w:before="0" w:after="0"/>
              <w:ind w:right="-16" w:firstLine="567"/>
              <w:jc w:val="both"/>
              <w:rPr>
                <w:rFonts w:ascii="Times New Roman" w:hAnsi="Times New Roman"/>
                <w:sz w:val="24"/>
                <w:szCs w:val="24"/>
              </w:rPr>
            </w:pPr>
            <w:r>
              <w:rPr>
                <w:rFonts w:ascii="Times New Roman" w:hAnsi="Times New Roman"/>
                <w:kern w:val="0"/>
                <w:sz w:val="24"/>
                <w:szCs w:val="24"/>
                <w:lang w:val="ru-RU" w:eastAsia="ru-RU" w:bidi="ar-SA"/>
              </w:rPr>
              <w:t xml:space="preserve">1. Проектную(рабочую) </w:t>
            </w:r>
            <w:r>
              <w:rPr>
                <w:rFonts w:ascii="Times New Roman" w:hAnsi="Times New Roman"/>
                <w:spacing w:val="-4"/>
                <w:kern w:val="0"/>
                <w:sz w:val="24"/>
                <w:szCs w:val="24"/>
                <w:lang w:val="ru-RU" w:eastAsia="ru-RU" w:bidi="ar-SA"/>
              </w:rPr>
              <w:t xml:space="preserve">документацию выполнить в соответствии с Техническими условиями </w:t>
            </w:r>
            <w:r>
              <w:rPr>
                <w:rFonts w:ascii="Times New Roman" w:hAnsi="Times New Roman"/>
                <w:i/>
                <w:iCs/>
                <w:spacing w:val="-4"/>
                <w:kern w:val="0"/>
                <w:sz w:val="24"/>
                <w:szCs w:val="24"/>
                <w:lang w:val="ru-RU" w:eastAsia="ru-RU" w:bidi="ar-SA"/>
              </w:rPr>
              <w:t>(Приложение № 1).</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2. Подрядчику на этапе предварительного согласования трассы ЛЭП, получить от лица Заказчика все необходимые согласования и/или технические условия на пересечение, сближение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w:t>
            </w:r>
          </w:p>
          <w:p>
            <w:pPr>
              <w:pStyle w:val="Standard"/>
              <w:widowControl w:val="false"/>
              <w:tabs>
                <w:tab w:val="clear" w:pos="708"/>
                <w:tab w:val="left" w:pos="0" w:leader="none"/>
              </w:tabs>
              <w:suppressAutoHyphens w:val="true"/>
              <w:spacing w:before="0" w:after="0"/>
              <w:ind w:firstLine="567"/>
              <w:jc w:val="both"/>
              <w:rPr>
                <w:rFonts w:ascii="Times New Roman" w:hAnsi="Times New Roman"/>
                <w:sz w:val="24"/>
                <w:szCs w:val="24"/>
              </w:rPr>
            </w:pPr>
            <w:r>
              <w:rPr>
                <w:rFonts w:ascii="Times New Roman" w:hAnsi="Times New Roman"/>
                <w:bCs/>
                <w:kern w:val="0"/>
                <w:sz w:val="24"/>
                <w:szCs w:val="24"/>
                <w:lang w:val="ru-RU" w:eastAsia="ru-RU" w:bidi="ar-SA"/>
              </w:rPr>
              <w:t xml:space="preserve">3.  </w:t>
            </w:r>
            <w:r>
              <w:rPr>
                <w:rFonts w:ascii="Times New Roman" w:hAnsi="Times New Roman"/>
                <w:b/>
                <w:bCs/>
                <w:i/>
                <w:kern w:val="0"/>
                <w:sz w:val="24"/>
                <w:szCs w:val="24"/>
                <w:lang w:val="ru-RU" w:eastAsia="ru-RU" w:bidi="ar-SA"/>
              </w:rPr>
              <w:t>Согласовать письменно с Заказчиком трассу ЛЭП до начала выполнения рабочей документации.</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4.  Подрядчик должен оформить проектную(рабочую) документацию в объеме, необходимом для постановки объекта на кадастровый учет и рабочую документацию в объеме, необходимом для производства строительно-монтажных и пусконаладочных работ;</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5. Проектную(рабочую) документацию согласовать со всеми сторонними организациями, чьи интересы затрагиваются в части пересечений, сближений и параллельные следования трассы ЛЭП с инженерными сетями, автодорогами и другими преградами сторонних организаций, попадающих в полосу отвода строительства ЛЭП, у которых получены технические условия и/или согласования.</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6.  Проектная(рабочая) документация оформляется в трех экземплярах. Подрядчик должен согласовать разработанную документацию в соответствующем РЭС и СП (что подтверждается подписью и печатью начальника РЭС, и ответственного лица в СП на титульном листе проекта и на плане проектируемых электросетей) и передать по акту приемки-передачи в подразделения заказчика в соответствии с</w:t>
            </w:r>
            <w:r>
              <w:rPr>
                <w:rFonts w:ascii="Times New Roman" w:hAnsi="Times New Roman"/>
                <w:bCs/>
                <w:i/>
                <w:iCs/>
                <w:kern w:val="0"/>
                <w:sz w:val="24"/>
                <w:szCs w:val="24"/>
                <w:lang w:val="ru-RU" w:eastAsia="ru-RU" w:bidi="ar-SA"/>
              </w:rPr>
              <w:t xml:space="preserve"> порядком п.2.3.2. настоящей таблицы.</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7. Состав ПД:</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пояснительная записка с описанием трассы (климатические условия района, начальная точка трассы, конечная точка трассы, количество пересечений с инженерными сооружениями);</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обзорная схема объекта;</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однолинейная схема объекта;</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сечение и марки провода/кабеля на основании длительно-допустимых и аварийно-допустимых значений токовой нагрузки с расчетами;</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ведомость объемов работ;</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ведомость заземляющих устройств;</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ведомость пересечений;</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схема электрических сетей;</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спецификация материалов и оборудования;</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расчёт контура заземления, расчёт потерь напряжения и выбор сечения ЛЭП, расчёт ЛЭП на отключение при КЗ;</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габаритные и установочные чертежи;</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 расчеты по выбору и проверке оборудования.</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ascii="Times New Roman" w:hAnsi="Times New Roman"/>
                <w:bCs/>
                <w:kern w:val="0"/>
                <w:sz w:val="24"/>
                <w:szCs w:val="24"/>
                <w:lang w:val="ru-RU" w:eastAsia="ru-RU" w:bidi="ar-SA"/>
              </w:rPr>
              <w:t>8. В материалах  полосы отвода  картографический материал предоставить в масштабах 1:500 и 1:2000 на бумажном и электронном носителях,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приказом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 изменениями и дополнениями от 3 февраля 2016 г., 24 ноября 2017 г.</w:t>
            </w:r>
          </w:p>
          <w:p>
            <w:pPr>
              <w:pStyle w:val="ListParagraph"/>
              <w:widowControl w:val="false"/>
              <w:tabs>
                <w:tab w:val="clear" w:pos="708"/>
                <w:tab w:val="left" w:pos="927" w:leader="none"/>
              </w:tabs>
              <w:spacing w:before="0" w:after="0"/>
              <w:ind w:left="0" w:firstLine="643"/>
              <w:jc w:val="both"/>
              <w:rPr>
                <w:bCs/>
                <w:spacing w:val="-1"/>
                <w:sz w:val="24"/>
                <w:szCs w:val="24"/>
              </w:rPr>
            </w:pPr>
            <w:r>
              <w:rPr>
                <w:bCs/>
                <w:spacing w:val="-1"/>
                <w:kern w:val="0"/>
                <w:sz w:val="24"/>
                <w:szCs w:val="24"/>
                <w:lang w:bidi="ar-SA"/>
              </w:rPr>
              <w:t>9. При выявлении зеленых насаждений в полосе проектирования ЛЭП на муниципальных землях выполнить подеревную съемку, обеспечить получение в администрации МО порубочного талона, произвести оплату компенсационных выплат, вырубку зелёных насаждений, утилизацию порубочных остатков. Все затраты на компенсационные выплаты входят в общую стоимость объекта.</w:t>
            </w:r>
          </w:p>
        </w:tc>
        <w:tc>
          <w:tcPr>
            <w:tcW w:w="3402" w:type="dxa"/>
            <w:gridSpan w:val="2"/>
            <w:vMerge w:val="continue"/>
            <w:tcBorders/>
            <w:shd w:color="auto" w:fill="auto" w:val="clear"/>
            <w:tcMar>
              <w:right w:w="108" w:type="dxa"/>
            </w:tcMar>
          </w:tcPr>
          <w:p>
            <w:pPr>
              <w:pStyle w:val="Normal"/>
              <w:widowControl w:val="false"/>
              <w:spacing w:lineRule="auto" w:line="240" w:before="0" w:after="0"/>
              <w:jc w:val="center"/>
              <w:rPr>
                <w:i/>
                <w:i/>
                <w:iCs/>
                <w:sz w:val="24"/>
              </w:rPr>
            </w:pPr>
            <w:r>
              <w:rPr>
                <w:i/>
                <w:iCs/>
                <w:sz w:val="24"/>
              </w:rPr>
            </w:r>
          </w:p>
        </w:tc>
      </w:tr>
      <w:tr>
        <w:trPr>
          <w:trHeight w:val="462"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1.1.5</w:t>
            </w:r>
          </w:p>
        </w:tc>
        <w:tc>
          <w:tcPr>
            <w:tcW w:w="2474" w:type="dxa"/>
            <w:tcBorders/>
            <w:shd w:color="auto" w:fill="auto" w:val="clear"/>
            <w:tcMar>
              <w:right w:w="108" w:type="dxa"/>
            </w:tcMar>
          </w:tcPr>
          <w:p>
            <w:pPr>
              <w:pStyle w:val="Normal"/>
              <w:widowControl w:val="false"/>
              <w:tabs>
                <w:tab w:val="clear" w:pos="708"/>
                <w:tab w:val="left" w:pos="567" w:leader="none"/>
              </w:tabs>
              <w:spacing w:lineRule="auto" w:line="240" w:before="0" w:after="0"/>
              <w:jc w:val="center"/>
              <w:rPr>
                <w:i/>
                <w:i/>
                <w:iCs/>
                <w:spacing w:val="4"/>
                <w:sz w:val="24"/>
                <w:szCs w:val="24"/>
              </w:rPr>
            </w:pPr>
            <w:r>
              <w:rPr>
                <w:rFonts w:eastAsia="Times New Roman" w:cs="Times New Roman" w:ascii="Times New Roman" w:hAnsi="Times New Roman"/>
                <w:i/>
                <w:iCs/>
                <w:color w:val="000000" w:themeColor="text1"/>
                <w:spacing w:val="4"/>
                <w:kern w:val="0"/>
                <w:sz w:val="24"/>
                <w:szCs w:val="24"/>
                <w:lang w:val="ru-RU" w:eastAsia="ru-RU" w:bidi="ar-SA"/>
              </w:rPr>
              <w:t>Требования к организации коммерческого учета электроэнергии</w:t>
            </w:r>
          </w:p>
        </w:tc>
        <w:tc>
          <w:tcPr>
            <w:tcW w:w="9571" w:type="dxa"/>
            <w:gridSpan w:val="3"/>
            <w:tcBorders/>
            <w:shd w:color="auto" w:fill="auto" w:val="clear"/>
            <w:tcMar>
              <w:right w:w="108" w:type="dxa"/>
            </w:tcMar>
          </w:tcPr>
          <w:p>
            <w:pPr>
              <w:pStyle w:val="Standard"/>
              <w:widowControl w:val="false"/>
              <w:tabs>
                <w:tab w:val="clear" w:pos="708"/>
                <w:tab w:val="left" w:pos="90" w:leader="none"/>
              </w:tabs>
              <w:suppressAutoHyphens w:val="true"/>
              <w:spacing w:before="0" w:after="0"/>
              <w:ind w:firstLine="454"/>
              <w:jc w:val="both"/>
              <w:rPr>
                <w:rFonts w:ascii="Times New Roman" w:hAnsi="Times New Roman"/>
                <w:bCs/>
                <w:sz w:val="24"/>
                <w:szCs w:val="24"/>
              </w:rPr>
            </w:pPr>
            <w:r>
              <w:rPr>
                <w:rFonts w:eastAsia="Times New Roman" w:cs="Times New Roman" w:ascii="Times New Roman" w:hAnsi="Times New Roman"/>
                <w:bCs/>
                <w:kern w:val="0"/>
                <w:sz w:val="24"/>
                <w:szCs w:val="24"/>
                <w:lang w:val="ru-RU" w:eastAsia="ru-RU" w:bidi="ar-SA"/>
              </w:rPr>
              <w:t>В ПД предусмотреть организацию коммерческого учета электроэнергии в соответствии с техническими условиями к договору об осуществлении технологического присоединения (Приложение 1) и соблюдением требований:</w:t>
            </w:r>
          </w:p>
          <w:p>
            <w:pPr>
              <w:pStyle w:val="Standard"/>
              <w:widowControl w:val="false"/>
              <w:tabs>
                <w:tab w:val="clear" w:pos="708"/>
                <w:tab w:val="left" w:pos="90" w:leader="none"/>
              </w:tabs>
              <w:suppressAutoHyphens w:val="true"/>
              <w:spacing w:before="0" w:after="0"/>
              <w:ind w:firstLine="454"/>
              <w:jc w:val="both"/>
              <w:rPr>
                <w:rFonts w:ascii="Times New Roman" w:hAnsi="Times New Roman"/>
                <w:sz w:val="24"/>
                <w:szCs w:val="24"/>
              </w:rPr>
            </w:pPr>
            <w:r>
              <w:rPr>
                <w:rFonts w:eastAsia="Times New Roman" w:cs="Times New Roman" w:ascii="Times New Roman" w:hAnsi="Times New Roman"/>
                <w:bCs/>
                <w:kern w:val="0"/>
                <w:sz w:val="24"/>
                <w:szCs w:val="24"/>
                <w:lang w:val="ru-RU" w:eastAsia="ru-RU" w:bidi="ar-SA"/>
              </w:rPr>
              <w:t>1. При организации учёта электроэнергии использовать счётчики электроэнергии, отвечающие требованиям Постановления Правительства РФ от 19.06.2020 № 890 «О порядке предоставления доступа к минимальному набору функций интеллектуальных систем учета электрической энергии (мощности)»;</w:t>
            </w:r>
          </w:p>
          <w:p>
            <w:pPr>
              <w:pStyle w:val="Standard"/>
              <w:widowControl w:val="false"/>
              <w:tabs>
                <w:tab w:val="clear" w:pos="708"/>
                <w:tab w:val="left" w:pos="90" w:leader="none"/>
              </w:tabs>
              <w:suppressAutoHyphens w:val="true"/>
              <w:spacing w:before="0" w:after="0"/>
              <w:ind w:firstLine="454"/>
              <w:jc w:val="both"/>
              <w:rPr>
                <w:rFonts w:ascii="Times New Roman" w:hAnsi="Times New Roman"/>
                <w:sz w:val="24"/>
                <w:szCs w:val="24"/>
              </w:rPr>
            </w:pPr>
            <w:r>
              <w:rPr>
                <w:rFonts w:eastAsia="Times New Roman" w:cs="Times New Roman" w:ascii="Times New Roman" w:hAnsi="Times New Roman"/>
                <w:bCs/>
                <w:kern w:val="0"/>
                <w:sz w:val="24"/>
                <w:szCs w:val="24"/>
                <w:lang w:val="ru-RU" w:eastAsia="ru-RU" w:bidi="ar-SA"/>
              </w:rPr>
              <w:t>2. Элементы измерительного комплекса (счетчики э/энергии, ТТ, УСПД) должны на момент установки иметь действующее свидетельство об утверждении типа, должны быть внесены в федеральный информационный фонд средств измерений, иметь первичную поверку;</w:t>
            </w:r>
          </w:p>
          <w:p>
            <w:pPr>
              <w:pStyle w:val="Standard"/>
              <w:widowControl w:val="false"/>
              <w:tabs>
                <w:tab w:val="clear" w:pos="708"/>
                <w:tab w:val="left" w:pos="90" w:leader="none"/>
              </w:tabs>
              <w:suppressAutoHyphens w:val="true"/>
              <w:spacing w:before="0" w:after="0"/>
              <w:ind w:firstLine="454"/>
              <w:jc w:val="both"/>
              <w:rPr>
                <w:rFonts w:ascii="Times New Roman" w:hAnsi="Times New Roman"/>
                <w:sz w:val="24"/>
                <w:szCs w:val="24"/>
              </w:rPr>
            </w:pPr>
            <w:r>
              <w:rPr>
                <w:rFonts w:eastAsia="Times New Roman" w:cs="Times New Roman" w:ascii="Times New Roman" w:hAnsi="Times New Roman"/>
                <w:bCs/>
                <w:kern w:val="0"/>
                <w:sz w:val="24"/>
                <w:szCs w:val="24"/>
                <w:lang w:val="ru-RU" w:eastAsia="ru-RU" w:bidi="ar-SA"/>
              </w:rPr>
              <w:t>3. Предусмотреть интеграцию в АИИС КУЭ всех приборов учета электроэнергии;</w:t>
            </w:r>
          </w:p>
          <w:p>
            <w:pPr>
              <w:pStyle w:val="Standard"/>
              <w:widowControl w:val="false"/>
              <w:tabs>
                <w:tab w:val="clear" w:pos="708"/>
                <w:tab w:val="left" w:pos="90" w:leader="none"/>
              </w:tabs>
              <w:suppressAutoHyphens w:val="true"/>
              <w:spacing w:before="0" w:after="0"/>
              <w:ind w:firstLine="454"/>
              <w:jc w:val="both"/>
              <w:rPr>
                <w:rFonts w:ascii="Times New Roman" w:hAnsi="Times New Roman"/>
                <w:sz w:val="24"/>
                <w:szCs w:val="24"/>
              </w:rPr>
            </w:pPr>
            <w:r>
              <w:rPr>
                <w:rFonts w:eastAsia="Times New Roman" w:cs="Times New Roman" w:ascii="Times New Roman" w:hAnsi="Times New Roman"/>
                <w:bCs/>
                <w:spacing w:val="-1"/>
                <w:kern w:val="0"/>
                <w:sz w:val="24"/>
                <w:szCs w:val="24"/>
                <w:lang w:val="ru-RU" w:eastAsia="ru-RU" w:bidi="ar-SA"/>
              </w:rPr>
              <w:t>4. Для защиты измерительных комплексов учета электроэнергии от несанкционированного доступа предусмотреть установку приборов учета, трансформаторов тока и оборудования АИИС КУЭ (УСПД и коммуникационное оборудование) в отдельных запираемых шкафах антивандального исполнения со степенью защиты IP-54, удовлетворяющих требованиям НТД. Шкафы смонтировать с учетом обеспечения удобства доступа, монтажа и эксплуатации.</w:t>
            </w:r>
          </w:p>
        </w:tc>
        <w:tc>
          <w:tcPr>
            <w:tcW w:w="3402" w:type="dxa"/>
            <w:gridSpan w:val="2"/>
            <w:vMerge w:val="continue"/>
            <w:tcBorders/>
            <w:shd w:color="auto" w:fill="auto" w:val="clear"/>
            <w:tcMar>
              <w:right w:w="108" w:type="dxa"/>
            </w:tcMar>
          </w:tcPr>
          <w:p>
            <w:pPr>
              <w:pStyle w:val="Normal"/>
              <w:widowControl w:val="false"/>
              <w:spacing w:lineRule="auto" w:line="240" w:before="0" w:after="0"/>
              <w:jc w:val="center"/>
              <w:rPr>
                <w:i/>
                <w:i/>
                <w:iCs/>
                <w:sz w:val="24"/>
              </w:rPr>
            </w:pPr>
            <w:r>
              <w:rPr>
                <w:i/>
                <w:iCs/>
                <w:sz w:val="24"/>
              </w:rPr>
            </w:r>
          </w:p>
        </w:tc>
      </w:tr>
      <w:tr>
        <w:trPr>
          <w:trHeight w:val="462"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1.1.6.</w:t>
            </w:r>
          </w:p>
        </w:tc>
        <w:tc>
          <w:tcPr>
            <w:tcW w:w="2474" w:type="dxa"/>
            <w:tcBorders/>
            <w:shd w:color="auto" w:fill="auto" w:val="clear"/>
            <w:tcMar>
              <w:right w:w="108" w:type="dxa"/>
            </w:tcMar>
          </w:tcPr>
          <w:p>
            <w:pPr>
              <w:pStyle w:val="Normal"/>
              <w:widowControl w:val="false"/>
              <w:tabs>
                <w:tab w:val="clear" w:pos="708"/>
                <w:tab w:val="left" w:pos="567" w:leader="none"/>
              </w:tabs>
              <w:spacing w:lineRule="auto" w:line="240" w:before="0" w:after="0"/>
              <w:jc w:val="center"/>
              <w:rPr>
                <w:i/>
                <w:i/>
                <w:iCs/>
                <w:spacing w:val="4"/>
                <w:sz w:val="24"/>
                <w:szCs w:val="24"/>
              </w:rPr>
            </w:pPr>
            <w:r>
              <w:rPr>
                <w:rFonts w:eastAsia="Times New Roman" w:cs="Times New Roman" w:ascii="Times New Roman" w:hAnsi="Times New Roman"/>
                <w:i/>
                <w:iCs/>
                <w:kern w:val="0"/>
                <w:sz w:val="24"/>
                <w:szCs w:val="24"/>
                <w:lang w:val="ru-RU" w:eastAsia="ru-RU" w:bidi="ar-SA"/>
              </w:rPr>
              <w:t>Производство работ со смежными землепользователями</w:t>
            </w:r>
          </w:p>
        </w:tc>
        <w:tc>
          <w:tcPr>
            <w:tcW w:w="9571" w:type="dxa"/>
            <w:gridSpan w:val="3"/>
            <w:tcBorders/>
            <w:shd w:color="auto" w:fill="auto" w:val="clear"/>
            <w:tcMar>
              <w:right w:w="108" w:type="dxa"/>
            </w:tcMar>
          </w:tcPr>
          <w:p>
            <w:pPr>
              <w:pStyle w:val="Standard"/>
              <w:widowControl w:val="false"/>
              <w:suppressAutoHyphens w:val="true"/>
              <w:spacing w:before="0" w:after="0"/>
              <w:ind w:firstLine="567"/>
              <w:jc w:val="both"/>
              <w:rPr>
                <w:rFonts w:ascii="Times New Roman" w:hAnsi="Times New Roman"/>
                <w:sz w:val="24"/>
                <w:szCs w:val="24"/>
              </w:rPr>
            </w:pPr>
            <w:r>
              <w:rPr>
                <w:rFonts w:eastAsia="Times New Roman" w:cs="Times New Roman" w:ascii="Times New Roman" w:hAnsi="Times New Roman"/>
                <w:kern w:val="0"/>
                <w:sz w:val="24"/>
                <w:szCs w:val="24"/>
                <w:lang w:val="ru-RU" w:eastAsia="ru-RU" w:bidi="ar-SA"/>
              </w:rPr>
              <w:t>1. Подрядчик самостоятельно согласовывает производство работ со смежными землепользователями, с заинтересованными организациями, физическими лицами и получает разрешение на производство работ (ордер на производство земляных работ), в установленном законом порядке;</w:t>
            </w:r>
          </w:p>
          <w:p>
            <w:pPr>
              <w:pStyle w:val="Standard"/>
              <w:widowControl w:val="false"/>
              <w:tabs>
                <w:tab w:val="clear" w:pos="708"/>
                <w:tab w:val="left" w:pos="466" w:leader="none"/>
              </w:tabs>
              <w:suppressAutoHyphens w:val="true"/>
              <w:spacing w:before="0" w:after="60"/>
              <w:ind w:firstLine="624"/>
              <w:jc w:val="both"/>
              <w:rPr>
                <w:rFonts w:ascii="Times New Roman" w:hAnsi="Times New Roman"/>
                <w:spacing w:val="-1"/>
                <w:sz w:val="24"/>
                <w:szCs w:val="24"/>
              </w:rPr>
            </w:pPr>
            <w:r>
              <w:rPr>
                <w:rFonts w:eastAsia="Times New Roman" w:cs="Times New Roman" w:ascii="Times New Roman" w:hAnsi="Times New Roman"/>
                <w:kern w:val="0"/>
                <w:sz w:val="24"/>
                <w:szCs w:val="24"/>
                <w:lang w:val="ru-RU" w:eastAsia="ru-RU" w:bidi="ar-SA"/>
              </w:rPr>
              <w:t>2. Подрядчик самостоятельно извещает заинтересованные организации и сетедержателей о начале выполнения работ в подконтрольной зоне их объектов;</w:t>
            </w:r>
          </w:p>
        </w:tc>
        <w:tc>
          <w:tcPr>
            <w:tcW w:w="3402" w:type="dxa"/>
            <w:gridSpan w:val="2"/>
            <w:vMerge w:val="continue"/>
            <w:tcBorders/>
            <w:shd w:color="auto" w:fill="auto" w:val="clear"/>
            <w:tcMar>
              <w:right w:w="108" w:type="dxa"/>
            </w:tcMar>
          </w:tcPr>
          <w:p>
            <w:pPr>
              <w:pStyle w:val="Normal"/>
              <w:widowControl w:val="false"/>
              <w:spacing w:lineRule="auto" w:line="240" w:before="0" w:after="0"/>
              <w:jc w:val="center"/>
              <w:rPr>
                <w:i/>
                <w:i/>
                <w:iCs/>
                <w:sz w:val="24"/>
              </w:rPr>
            </w:pPr>
            <w:r>
              <w:rPr>
                <w:i/>
                <w:iCs/>
                <w:sz w:val="24"/>
              </w:rPr>
            </w:r>
          </w:p>
        </w:tc>
      </w:tr>
      <w:tr>
        <w:trPr>
          <w:trHeight w:val="462"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1.1.7.</w:t>
            </w:r>
          </w:p>
        </w:tc>
        <w:tc>
          <w:tcPr>
            <w:tcW w:w="2474" w:type="dxa"/>
            <w:tcBorders/>
            <w:shd w:color="auto" w:fill="auto" w:val="clear"/>
            <w:tcMar>
              <w:right w:w="108" w:type="dxa"/>
            </w:tcMar>
          </w:tcPr>
          <w:p>
            <w:pPr>
              <w:pStyle w:val="Normal"/>
              <w:widowControl w:val="false"/>
              <w:tabs>
                <w:tab w:val="clear" w:pos="708"/>
                <w:tab w:val="left" w:pos="567" w:leader="none"/>
              </w:tabs>
              <w:spacing w:lineRule="auto" w:line="240" w:before="0" w:after="0"/>
              <w:jc w:val="center"/>
              <w:rPr>
                <w:i/>
                <w:i/>
                <w:iCs/>
                <w:spacing w:val="4"/>
                <w:sz w:val="24"/>
                <w:szCs w:val="24"/>
              </w:rPr>
            </w:pPr>
            <w:r>
              <w:rPr>
                <w:rFonts w:eastAsia="Times New Roman" w:cs="Times New Roman" w:ascii="Times New Roman" w:hAnsi="Times New Roman"/>
                <w:i/>
                <w:iCs/>
                <w:kern w:val="0"/>
                <w:sz w:val="24"/>
                <w:szCs w:val="24"/>
                <w:lang w:val="ru-RU" w:eastAsia="ru-RU" w:bidi="ar-SA"/>
              </w:rPr>
              <w:t>Ведение и оформление исполнительной документации</w:t>
            </w:r>
          </w:p>
        </w:tc>
        <w:tc>
          <w:tcPr>
            <w:tcW w:w="9571" w:type="dxa"/>
            <w:gridSpan w:val="3"/>
            <w:tcBorders/>
            <w:shd w:color="auto" w:fill="auto" w:val="clear"/>
            <w:tcMar>
              <w:right w:w="108" w:type="dxa"/>
            </w:tcMar>
          </w:tcPr>
          <w:p>
            <w:pPr>
              <w:pStyle w:val="Standard"/>
              <w:widowControl w:val="false"/>
              <w:tabs>
                <w:tab w:val="clear" w:pos="708"/>
                <w:tab w:val="left" w:pos="643" w:leader="none"/>
              </w:tabs>
              <w:suppressAutoHyphens w:val="true"/>
              <w:spacing w:before="0" w:after="0"/>
              <w:ind w:firstLine="540"/>
              <w:jc w:val="both"/>
              <w:rPr>
                <w:rFonts w:ascii="Times New Roman" w:hAnsi="Times New Roman"/>
                <w:sz w:val="24"/>
                <w:szCs w:val="24"/>
              </w:rPr>
            </w:pPr>
            <w:r>
              <w:rPr>
                <w:rFonts w:eastAsia="Times New Roman" w:cs="Times New Roman" w:ascii="Times New Roman" w:hAnsi="Times New Roman"/>
                <w:kern w:val="0"/>
                <w:sz w:val="24"/>
                <w:szCs w:val="24"/>
                <w:lang w:val="ru-RU" w:eastAsia="ru-RU" w:bidi="ar-SA"/>
              </w:rPr>
              <w:t>1.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Standard"/>
              <w:widowControl w:val="false"/>
              <w:tabs>
                <w:tab w:val="clear" w:pos="708"/>
                <w:tab w:val="left" w:pos="466" w:leader="none"/>
              </w:tabs>
              <w:suppressAutoHyphens w:val="true"/>
              <w:spacing w:before="0" w:after="60"/>
              <w:ind w:firstLine="502"/>
              <w:jc w:val="both"/>
              <w:rPr>
                <w:rFonts w:ascii="Times New Roman" w:hAnsi="Times New Roman"/>
                <w:spacing w:val="-1"/>
                <w:sz w:val="24"/>
                <w:szCs w:val="24"/>
              </w:rPr>
            </w:pPr>
            <w:r>
              <w:rPr>
                <w:rFonts w:eastAsia="Times New Roman" w:cs="Times New Roman" w:ascii="Times New Roman" w:hAnsi="Times New Roman"/>
                <w:kern w:val="0"/>
                <w:sz w:val="24"/>
                <w:szCs w:val="24"/>
                <w:lang w:val="ru-RU" w:eastAsia="ru-RU" w:bidi="ar-SA"/>
              </w:rPr>
              <w:t xml:space="preserve">2. Подрядчик оформляет исполнительную документацию на участки прохождения ЛЭП в местах </w:t>
            </w:r>
            <w:r>
              <w:rPr>
                <w:rFonts w:eastAsia="Times New Roman" w:cs="Times New Roman" w:ascii="Times New Roman" w:hAnsi="Times New Roman"/>
                <w:bCs/>
                <w:kern w:val="0"/>
                <w:sz w:val="24"/>
                <w:szCs w:val="24"/>
                <w:lang w:val="ru-RU" w:eastAsia="ru-RU" w:bidi="ar-SA"/>
              </w:rPr>
              <w:t>пересечений, сближений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на которые получены согласования и/или технические условия, с оформлением актов (справок) об их выполнении.</w:t>
            </w:r>
          </w:p>
        </w:tc>
        <w:tc>
          <w:tcPr>
            <w:tcW w:w="3402" w:type="dxa"/>
            <w:gridSpan w:val="2"/>
            <w:vMerge w:val="continue"/>
            <w:tcBorders/>
            <w:shd w:color="auto" w:fill="auto" w:val="clear"/>
            <w:tcMar>
              <w:right w:w="108" w:type="dxa"/>
            </w:tcMar>
          </w:tcPr>
          <w:p>
            <w:pPr>
              <w:pStyle w:val="Normal"/>
              <w:widowControl w:val="false"/>
              <w:spacing w:lineRule="auto" w:line="240" w:before="0" w:after="0"/>
              <w:jc w:val="center"/>
              <w:rPr>
                <w:i/>
                <w:i/>
                <w:iCs/>
                <w:sz w:val="24"/>
              </w:rPr>
            </w:pPr>
            <w:r>
              <w:rPr>
                <w:i/>
                <w:iCs/>
                <w:sz w:val="24"/>
              </w:rPr>
            </w:r>
          </w:p>
        </w:tc>
      </w:tr>
      <w:tr>
        <w:trPr>
          <w:trHeight w:val="462" w:hRule="atLeast"/>
        </w:trPr>
        <w:tc>
          <w:tcPr>
            <w:tcW w:w="565" w:type="dxa"/>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sz w:val="24"/>
                <w:szCs w:val="24"/>
              </w:rPr>
            </w:pPr>
            <w:r>
              <w:rPr>
                <w:rFonts w:eastAsia="Times New Roman" w:cs="Times New Roman" w:ascii="Times New Roman" w:hAnsi="Times New Roman"/>
                <w:b/>
                <w:bCs/>
                <w:kern w:val="0"/>
                <w:sz w:val="24"/>
                <w:szCs w:val="24"/>
                <w:lang w:val="ru-RU" w:eastAsia="ru-RU" w:bidi="ar-SA"/>
              </w:rPr>
              <w:t>1.1.8</w:t>
            </w:r>
          </w:p>
        </w:tc>
        <w:tc>
          <w:tcPr>
            <w:tcW w:w="2474" w:type="dxa"/>
            <w:tcBorders/>
            <w:shd w:color="auto" w:fill="auto" w:val="clear"/>
            <w:tcMar>
              <w:right w:w="108" w:type="dxa"/>
            </w:tcMar>
          </w:tcPr>
          <w:p>
            <w:pPr>
              <w:pStyle w:val="Normal"/>
              <w:widowControl w:val="false"/>
              <w:tabs>
                <w:tab w:val="clear" w:pos="708"/>
                <w:tab w:val="left" w:pos="567" w:leader="none"/>
              </w:tabs>
              <w:spacing w:lineRule="auto" w:line="240" w:before="0" w:after="0"/>
              <w:jc w:val="center"/>
              <w:rPr>
                <w:rFonts w:ascii="Times New Roman" w:hAnsi="Times New Roman" w:eastAsia="Times New Roman" w:cs="Times New Roman"/>
                <w:i/>
                <w:i/>
                <w:iCs/>
                <w:sz w:val="24"/>
                <w:szCs w:val="24"/>
              </w:rPr>
            </w:pPr>
            <w:r>
              <w:rPr>
                <w:rFonts w:eastAsia="Times New Roman" w:cs="Times New Roman" w:ascii="Times New Roman" w:hAnsi="Times New Roman"/>
                <w:i/>
                <w:iCs/>
                <w:kern w:val="0"/>
                <w:sz w:val="24"/>
                <w:szCs w:val="24"/>
                <w:lang w:val="ru-RU" w:eastAsia="ru-RU" w:bidi="ar-SA"/>
              </w:rPr>
              <w:t>Требования к сметной документации на выполнение СМР</w:t>
            </w:r>
          </w:p>
        </w:tc>
        <w:tc>
          <w:tcPr>
            <w:tcW w:w="9571" w:type="dxa"/>
            <w:gridSpan w:val="3"/>
            <w:tcBorders/>
            <w:shd w:color="auto" w:fill="auto" w:val="clear"/>
            <w:tcMar>
              <w:right w:w="108" w:type="dxa"/>
            </w:tcMar>
          </w:tcPr>
          <w:p>
            <w:pPr>
              <w:pStyle w:val="Standard"/>
              <w:widowControl w:val="false"/>
              <w:tabs>
                <w:tab w:val="clear" w:pos="708"/>
                <w:tab w:val="left" w:pos="643" w:leader="none"/>
              </w:tabs>
              <w:suppressAutoHyphens w:val="true"/>
              <w:spacing w:before="0" w:after="0"/>
              <w:ind w:firstLine="540"/>
              <w:jc w:val="both"/>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ru-RU" w:bidi="ar-SA"/>
              </w:rPr>
              <w:t xml:space="preserve">1. Разработка сметной документации осуществляется в соответствии с Требованиями к оформлению и составлению документации по ценообразованию (сметной документации). </w:t>
            </w:r>
            <w:r>
              <w:rPr>
                <w:rFonts w:eastAsia="Times New Roman" w:cs="Times New Roman" w:ascii="Times New Roman" w:hAnsi="Times New Roman"/>
                <w:b/>
                <w:kern w:val="0"/>
                <w:sz w:val="24"/>
                <w:szCs w:val="24"/>
                <w:lang w:val="ru-RU" w:eastAsia="ru-RU" w:bidi="ar-SA"/>
              </w:rPr>
              <w:t>(Приложение №2).</w:t>
            </w:r>
          </w:p>
        </w:tc>
        <w:tc>
          <w:tcPr>
            <w:tcW w:w="3402" w:type="dxa"/>
            <w:gridSpan w:val="2"/>
            <w:vMerge w:val="continue"/>
            <w:tcBorders/>
            <w:shd w:color="auto" w:fill="auto"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sz w:val="24"/>
              </w:rPr>
            </w:pPr>
            <w:r>
              <w:rPr>
                <w:rFonts w:eastAsia="Times New Roman" w:cs="Times New Roman" w:ascii="Times New Roman" w:hAnsi="Times New Roman"/>
                <w:i/>
                <w:iCs/>
                <w:sz w:val="24"/>
              </w:rPr>
            </w:r>
          </w:p>
        </w:tc>
      </w:tr>
      <w:tr>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2.</w:t>
            </w:r>
          </w:p>
        </w:tc>
        <w:tc>
          <w:tcPr>
            <w:tcW w:w="15447" w:type="dxa"/>
            <w:gridSpan w:val="6"/>
            <w:tcBorders/>
            <w:shd w:color="auto" w:fill="auto" w:val="clear"/>
            <w:tcMar>
              <w:right w:w="108" w:type="dxa"/>
            </w:tcMar>
            <w:vAlign w:val="center"/>
          </w:tcPr>
          <w:p>
            <w:pPr>
              <w:pStyle w:val="Normal"/>
              <w:widowControl w:val="false"/>
              <w:spacing w:lineRule="auto" w:line="240" w:before="0" w:after="0"/>
              <w:jc w:val="both"/>
              <w:rPr>
                <w:b/>
                <w:b/>
                <w:bCs/>
                <w:sz w:val="24"/>
                <w:szCs w:val="24"/>
              </w:rPr>
            </w:pPr>
            <w:r>
              <w:rPr>
                <w:rFonts w:eastAsia="Times New Roman" w:cs="Times New Roman" w:ascii="Times New Roman" w:hAnsi="Times New Roman"/>
                <w:b/>
                <w:bCs/>
                <w:kern w:val="0"/>
                <w:sz w:val="24"/>
                <w:szCs w:val="24"/>
                <w:lang w:val="ru-RU" w:eastAsia="ru-RU" w:bidi="ar-SA"/>
              </w:rPr>
              <w:t>Требования к результатам работ</w:t>
            </w:r>
          </w:p>
        </w:tc>
      </w:tr>
      <w:tr>
        <w:trPr>
          <w:trHeight w:val="243"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2.1.</w:t>
            </w:r>
          </w:p>
        </w:tc>
        <w:tc>
          <w:tcPr>
            <w:tcW w:w="12045" w:type="dxa"/>
            <w:gridSpan w:val="4"/>
            <w:tcBorders/>
            <w:shd w:color="auto" w:fill="auto" w:val="clear"/>
            <w:tcMar>
              <w:right w:w="108" w:type="dxa"/>
            </w:tcMar>
          </w:tcPr>
          <w:p>
            <w:pPr>
              <w:pStyle w:val="Normal"/>
              <w:widowControl w:val="false"/>
              <w:spacing w:lineRule="auto" w:line="240" w:before="0" w:after="0"/>
              <w:jc w:val="both"/>
              <w:rPr>
                <w:b/>
                <w:b/>
                <w:bCs/>
                <w:sz w:val="24"/>
                <w:szCs w:val="24"/>
              </w:rPr>
            </w:pPr>
            <w:r>
              <w:rPr>
                <w:rFonts w:eastAsia="Times New Roman" w:cs="Times New Roman" w:ascii="Times New Roman" w:hAnsi="Times New Roman"/>
                <w:b/>
                <w:bCs/>
                <w:kern w:val="0"/>
                <w:sz w:val="24"/>
                <w:szCs w:val="24"/>
                <w:lang w:val="ru-RU" w:eastAsia="ru-RU" w:bidi="ar-SA"/>
              </w:rPr>
              <w:t>Общие требования к результатам работ</w:t>
            </w:r>
          </w:p>
        </w:tc>
        <w:tc>
          <w:tcPr>
            <w:tcW w:w="1548" w:type="dxa"/>
            <w:tcBorders/>
            <w:shd w:color="auto" w:fill="auto" w:val="clear"/>
            <w:tcMar>
              <w:right w:w="108" w:type="dxa"/>
            </w:tcMar>
          </w:tcPr>
          <w:p>
            <w:pPr>
              <w:pStyle w:val="Normal"/>
              <w:widowControl w:val="false"/>
              <w:spacing w:lineRule="auto" w:line="240" w:before="0" w:after="0"/>
              <w:jc w:val="both"/>
              <w:rPr>
                <w:rFonts w:ascii="Times New Roman" w:hAnsi="Times New Roman" w:eastAsia="Times New Roman" w:cs="Times New Roman"/>
                <w:b/>
                <w:b/>
                <w:bCs/>
                <w:sz w:val="20"/>
              </w:rPr>
            </w:pPr>
            <w:r>
              <w:rPr>
                <w:rFonts w:eastAsia="Times New Roman" w:cs="Times New Roman" w:ascii="Times New Roman" w:hAnsi="Times New Roman"/>
                <w:b/>
                <w:bCs/>
                <w:sz w:val="20"/>
              </w:rPr>
            </w:r>
          </w:p>
        </w:tc>
        <w:tc>
          <w:tcPr>
            <w:tcW w:w="1854" w:type="dxa"/>
            <w:tcBorders/>
            <w:shd w:color="auto" w:fill="auto" w:val="clear"/>
            <w:tcMar>
              <w:right w:w="108" w:type="dxa"/>
            </w:tcMar>
          </w:tcPr>
          <w:p>
            <w:pPr>
              <w:pStyle w:val="Normal"/>
              <w:widowControl w:val="false"/>
              <w:spacing w:lineRule="auto" w:line="240" w:before="0" w:after="0"/>
              <w:jc w:val="both"/>
              <w:rPr>
                <w:rFonts w:ascii="Times New Roman" w:hAnsi="Times New Roman" w:eastAsia="Times New Roman" w:cs="Times New Roman"/>
                <w:b/>
                <w:b/>
                <w:bCs/>
                <w:sz w:val="20"/>
              </w:rPr>
            </w:pPr>
            <w:r>
              <w:rPr>
                <w:rFonts w:eastAsia="Times New Roman" w:cs="Times New Roman" w:ascii="Times New Roman" w:hAnsi="Times New Roman"/>
                <w:b/>
                <w:bCs/>
                <w:sz w:val="20"/>
              </w:rPr>
            </w:r>
          </w:p>
        </w:tc>
      </w:tr>
      <w:tr>
        <w:trPr>
          <w:trHeight w:val="463"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2.1.1.</w:t>
            </w:r>
          </w:p>
        </w:tc>
        <w:tc>
          <w:tcPr>
            <w:tcW w:w="2482" w:type="dxa"/>
            <w:gridSpan w:val="2"/>
            <w:tcBorders/>
            <w:shd w:color="auto" w:fill="auto" w:val="clear"/>
            <w:tcMar>
              <w:right w:w="108" w:type="dxa"/>
            </w:tcMar>
          </w:tcPr>
          <w:p>
            <w:pPr>
              <w:pStyle w:val="Normal"/>
              <w:widowControl w:val="false"/>
              <w:spacing w:lineRule="auto" w:line="240" w:before="0" w:after="0"/>
              <w:jc w:val="center"/>
              <w:rPr>
                <w:bCs/>
                <w:i/>
                <w:i/>
                <w:sz w:val="24"/>
                <w:szCs w:val="24"/>
              </w:rPr>
            </w:pPr>
            <w:r>
              <w:rPr>
                <w:rFonts w:eastAsia="Times New Roman" w:cs="Times New Roman" w:ascii="Times New Roman" w:hAnsi="Times New Roman"/>
                <w:bCs/>
                <w:i/>
                <w:kern w:val="0"/>
                <w:sz w:val="24"/>
                <w:szCs w:val="24"/>
                <w:lang w:val="ru-RU" w:eastAsia="ru-RU" w:bidi="ar-SA"/>
              </w:rPr>
              <w:t>Результат работ</w:t>
            </w:r>
          </w:p>
        </w:tc>
        <w:tc>
          <w:tcPr>
            <w:tcW w:w="9563" w:type="dxa"/>
            <w:gridSpan w:val="2"/>
            <w:tcBorders/>
            <w:shd w:color="auto" w:fill="auto" w:val="clear"/>
            <w:tcMar>
              <w:right w:w="108" w:type="dxa"/>
            </w:tcMar>
          </w:tcPr>
          <w:p>
            <w:pPr>
              <w:pStyle w:val="Normal"/>
              <w:widowControl w:val="false"/>
              <w:spacing w:lineRule="auto" w:line="240" w:before="0" w:after="0"/>
              <w:jc w:val="both"/>
              <w:rPr>
                <w:b/>
                <w:b/>
                <w:bCs/>
                <w:sz w:val="24"/>
                <w:szCs w:val="24"/>
              </w:rPr>
            </w:pPr>
            <w:r>
              <w:rPr>
                <w:rFonts w:eastAsia="Times New Roman" w:cs="Times New Roman" w:ascii="Times New Roman" w:hAnsi="Times New Roman"/>
                <w:bCs/>
                <w:kern w:val="0"/>
                <w:sz w:val="24"/>
                <w:szCs w:val="24"/>
                <w:lang w:val="ru-RU" w:eastAsia="ru-RU" w:bidi="ar-SA"/>
              </w:rPr>
              <w:t>Работы должны быть выполнены в полном объеме, достаточном для выполнения СМР.</w:t>
            </w:r>
          </w:p>
        </w:tc>
        <w:tc>
          <w:tcPr>
            <w:tcW w:w="3402" w:type="dxa"/>
            <w:gridSpan w:val="2"/>
            <w:tcBorders/>
            <w:shd w:color="auto" w:fill="auto" w:val="clear"/>
            <w:tcMar>
              <w:right w:w="108" w:type="dxa"/>
            </w:tcMar>
          </w:tcPr>
          <w:p>
            <w:pPr>
              <w:pStyle w:val="Normal"/>
              <w:widowControl w:val="false"/>
              <w:spacing w:lineRule="auto" w:line="240" w:before="0" w:after="0"/>
              <w:jc w:val="center"/>
              <w:rPr>
                <w:kern w:val="0"/>
                <w:lang w:val="ru-RU" w:eastAsia="ru-RU" w:bidi="ar-SA"/>
              </w:rPr>
            </w:pPr>
            <w:r>
              <w:rPr>
                <w:rFonts w:eastAsia="Times New Roman" w:cs="Times New Roman" w:ascii="Times New Roman" w:hAnsi="Times New Roman"/>
                <w:i/>
                <w:iCs/>
                <w:kern w:val="0"/>
                <w:sz w:val="24"/>
                <w:szCs w:val="24"/>
                <w:lang w:val="ru-RU" w:eastAsia="ru-RU" w:bidi="ar-SA"/>
              </w:rPr>
              <w:t>Участник должен предоставить в заявке согласие закупить материалы и оборудование, и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trPr/>
        <w:tc>
          <w:tcPr>
            <w:tcW w:w="565" w:type="dxa"/>
            <w:tcBorders/>
            <w:shd w:color="auto" w:fill="auto" w:val="clear"/>
          </w:tcPr>
          <w:p>
            <w:pPr>
              <w:pStyle w:val="Normal"/>
              <w:widowControl w:val="false"/>
              <w:spacing w:lineRule="auto" w:line="240" w:before="0" w:after="0"/>
              <w:ind w:left="123" w:hanging="0"/>
              <w:jc w:val="left"/>
              <w:rPr>
                <w:b/>
                <w:b/>
                <w:bCs/>
                <w:sz w:val="24"/>
                <w:szCs w:val="24"/>
              </w:rPr>
            </w:pPr>
            <w:r>
              <w:rPr>
                <w:rFonts w:eastAsia="Times New Roman" w:cs="Times New Roman" w:ascii="Times New Roman" w:hAnsi="Times New Roman"/>
                <w:b/>
                <w:bCs/>
                <w:kern w:val="0"/>
                <w:sz w:val="24"/>
                <w:szCs w:val="24"/>
                <w:lang w:val="ru-RU" w:eastAsia="ru-RU" w:bidi="ar-SA"/>
              </w:rPr>
              <w:t>2.2.</w:t>
            </w:r>
          </w:p>
        </w:tc>
        <w:tc>
          <w:tcPr>
            <w:tcW w:w="12045" w:type="dxa"/>
            <w:gridSpan w:val="4"/>
            <w:tcBorders/>
            <w:shd w:color="auto" w:fill="auto" w:val="clear"/>
            <w:tcMar>
              <w:right w:w="108" w:type="dxa"/>
            </w:tcMar>
          </w:tcPr>
          <w:p>
            <w:pPr>
              <w:pStyle w:val="Normal"/>
              <w:widowControl w:val="false"/>
              <w:spacing w:lineRule="auto" w:line="240" w:before="0" w:after="0"/>
              <w:jc w:val="both"/>
              <w:rPr>
                <w:b/>
                <w:b/>
                <w:bCs/>
                <w:sz w:val="24"/>
                <w:szCs w:val="24"/>
              </w:rPr>
            </w:pPr>
            <w:r>
              <w:rPr>
                <w:rFonts w:eastAsia="Times New Roman" w:cs="Times New Roman" w:ascii="Times New Roman" w:hAnsi="Times New Roman"/>
                <w:b/>
                <w:bCs/>
                <w:kern w:val="0"/>
                <w:sz w:val="24"/>
                <w:szCs w:val="24"/>
                <w:lang w:val="ru-RU" w:eastAsia="ru-RU" w:bidi="ar-SA"/>
              </w:rPr>
              <w:t>Требования к порядку приемки результатов работ</w:t>
            </w:r>
          </w:p>
        </w:tc>
        <w:tc>
          <w:tcPr>
            <w:tcW w:w="1548" w:type="dxa"/>
            <w:tcBorders/>
            <w:shd w:color="auto" w:fill="auto" w:val="clear"/>
            <w:tcMar>
              <w:right w:w="108" w:type="dxa"/>
            </w:tcMar>
          </w:tcPr>
          <w:p>
            <w:pPr>
              <w:pStyle w:val="Normal"/>
              <w:widowControl w:val="false"/>
              <w:spacing w:lineRule="auto" w:line="240" w:before="0" w:after="0"/>
              <w:jc w:val="both"/>
              <w:rPr>
                <w:rFonts w:ascii="Times New Roman" w:hAnsi="Times New Roman" w:eastAsia="Times New Roman" w:cs="Times New Roman"/>
                <w:b/>
                <w:b/>
                <w:bCs/>
                <w:sz w:val="20"/>
              </w:rPr>
            </w:pPr>
            <w:r>
              <w:rPr>
                <w:rFonts w:eastAsia="Times New Roman" w:cs="Times New Roman" w:ascii="Times New Roman" w:hAnsi="Times New Roman"/>
                <w:b/>
                <w:bCs/>
                <w:sz w:val="20"/>
              </w:rPr>
            </w:r>
          </w:p>
        </w:tc>
        <w:tc>
          <w:tcPr>
            <w:tcW w:w="1854" w:type="dxa"/>
            <w:tcBorders/>
            <w:shd w:color="auto" w:fill="auto" w:val="clear"/>
            <w:tcMar>
              <w:right w:w="108" w:type="dxa"/>
            </w:tcMar>
          </w:tcPr>
          <w:p>
            <w:pPr>
              <w:pStyle w:val="Normal"/>
              <w:widowControl w:val="false"/>
              <w:spacing w:lineRule="auto" w:line="240" w:before="0" w:after="0"/>
              <w:jc w:val="both"/>
              <w:rPr>
                <w:rFonts w:ascii="Times New Roman" w:hAnsi="Times New Roman" w:eastAsia="Times New Roman" w:cs="Times New Roman"/>
                <w:b/>
                <w:b/>
                <w:bCs/>
                <w:sz w:val="20"/>
              </w:rPr>
            </w:pPr>
            <w:r>
              <w:rPr>
                <w:rFonts w:eastAsia="Times New Roman" w:cs="Times New Roman" w:ascii="Times New Roman" w:hAnsi="Times New Roman"/>
                <w:b/>
                <w:bCs/>
                <w:sz w:val="20"/>
              </w:rPr>
            </w:r>
          </w:p>
        </w:tc>
      </w:tr>
      <w:tr>
        <w:trPr>
          <w:trHeight w:val="581"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2.2.1.</w:t>
            </w:r>
          </w:p>
        </w:tc>
        <w:tc>
          <w:tcPr>
            <w:tcW w:w="12045" w:type="dxa"/>
            <w:gridSpan w:val="4"/>
            <w:tcBorders/>
            <w:shd w:color="auto" w:fill="auto" w:val="clear"/>
            <w:tcMar>
              <w:right w:w="108" w:type="dxa"/>
            </w:tcMar>
          </w:tcPr>
          <w:p>
            <w:pPr>
              <w:pStyle w:val="Normal"/>
              <w:widowControl w:val="false"/>
              <w:spacing w:lineRule="auto" w:line="240" w:before="0" w:after="0"/>
              <w:jc w:val="both"/>
              <w:rPr>
                <w:bCs/>
                <w:sz w:val="24"/>
                <w:szCs w:val="24"/>
              </w:rPr>
            </w:pPr>
            <w:r>
              <w:rPr>
                <w:rFonts w:eastAsia="Times New Roman" w:cs="Times New Roman" w:ascii="Times New Roman" w:hAnsi="Times New Roman"/>
                <w:bCs/>
                <w:kern w:val="0"/>
                <w:sz w:val="24"/>
                <w:szCs w:val="24"/>
                <w:lang w:val="ru-RU" w:eastAsia="ru-RU" w:bidi="ar-SA"/>
              </w:rPr>
              <w:t xml:space="preserve">     </w:t>
            </w:r>
            <w:r>
              <w:rPr>
                <w:rFonts w:eastAsia="Times New Roman" w:cs="Times New Roman" w:ascii="Times New Roman" w:hAnsi="Times New Roman"/>
                <w:bCs/>
                <w:kern w:val="0"/>
                <w:sz w:val="24"/>
                <w:szCs w:val="24"/>
                <w:lang w:val="ru-RU" w:eastAsia="ru-RU" w:bidi="ar-SA"/>
              </w:rPr>
              <w:t>Приемка выполненных работ осуществляется Заказчиком в соответствии с условиями заключенного договора подряда.</w:t>
            </w:r>
          </w:p>
        </w:tc>
        <w:tc>
          <w:tcPr>
            <w:tcW w:w="3402" w:type="dxa"/>
            <w:gridSpan w:val="2"/>
            <w:tcBorders/>
            <w:shd w:color="auto" w:fill="auto" w:val="clear"/>
            <w:tcMar>
              <w:right w:w="108" w:type="dxa"/>
            </w:tcMar>
          </w:tcPr>
          <w:p>
            <w:pPr>
              <w:pStyle w:val="Normal"/>
              <w:widowControl w:val="false"/>
              <w:spacing w:lineRule="auto" w:line="240" w:before="0" w:after="0"/>
              <w:jc w:val="center"/>
              <w:rPr>
                <w:kern w:val="0"/>
                <w:lang w:val="ru-RU" w:eastAsia="ru-RU" w:bidi="ar-SA"/>
              </w:rPr>
            </w:pPr>
            <w:r>
              <w:rPr>
                <w:rFonts w:eastAsia="Times New Roman" w:cs="Times New Roman" w:ascii="Times New Roman" w:hAnsi="Times New Roman"/>
                <w:i/>
                <w:iCs/>
                <w:kern w:val="0"/>
                <w:sz w:val="24"/>
                <w:szCs w:val="24"/>
                <w:lang w:val="ru-RU" w:eastAsia="ru-RU" w:bidi="ar-SA"/>
              </w:rPr>
              <w:t>Участник должен предоставить в заявке согласие закупить материалы и оборудование, и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2.3.</w:t>
            </w:r>
          </w:p>
        </w:tc>
        <w:tc>
          <w:tcPr>
            <w:tcW w:w="12045" w:type="dxa"/>
            <w:gridSpan w:val="4"/>
            <w:tcBorders/>
            <w:shd w:color="auto" w:fill="auto" w:val="clear"/>
            <w:tcMar>
              <w:right w:w="108" w:type="dxa"/>
            </w:tcMar>
          </w:tcPr>
          <w:p>
            <w:pPr>
              <w:pStyle w:val="Normal"/>
              <w:widowControl w:val="false"/>
              <w:spacing w:lineRule="auto" w:line="240" w:before="0" w:after="0"/>
              <w:jc w:val="both"/>
              <w:rPr>
                <w:b/>
                <w:b/>
                <w:bCs/>
                <w:sz w:val="24"/>
                <w:szCs w:val="24"/>
              </w:rPr>
            </w:pPr>
            <w:r>
              <w:rPr>
                <w:rFonts w:eastAsia="Times New Roman" w:cs="Times New Roman" w:ascii="Times New Roman" w:hAnsi="Times New Roman"/>
                <w:b/>
                <w:bCs/>
                <w:kern w:val="0"/>
                <w:sz w:val="24"/>
                <w:szCs w:val="24"/>
                <w:lang w:val="ru-RU" w:eastAsia="ru-RU" w:bidi="ar-SA"/>
              </w:rPr>
              <w:t>Требования к оформлению документации при приемке работ</w:t>
            </w:r>
          </w:p>
        </w:tc>
        <w:tc>
          <w:tcPr>
            <w:tcW w:w="1548" w:type="dxa"/>
            <w:tcBorders/>
            <w:shd w:color="auto" w:fill="auto" w:val="clear"/>
            <w:tcMar>
              <w:right w:w="108" w:type="dxa"/>
            </w:tcMar>
          </w:tcPr>
          <w:p>
            <w:pPr>
              <w:pStyle w:val="Normal"/>
              <w:widowControl w:val="false"/>
              <w:spacing w:lineRule="auto" w:line="240" w:before="0" w:after="0"/>
              <w:jc w:val="both"/>
              <w:rPr>
                <w:rFonts w:ascii="Times New Roman" w:hAnsi="Times New Roman" w:eastAsia="Times New Roman" w:cs="Times New Roman"/>
                <w:b/>
                <w:b/>
                <w:bCs/>
                <w:sz w:val="20"/>
              </w:rPr>
            </w:pPr>
            <w:r>
              <w:rPr>
                <w:rFonts w:eastAsia="Times New Roman" w:cs="Times New Roman" w:ascii="Times New Roman" w:hAnsi="Times New Roman"/>
                <w:b/>
                <w:bCs/>
                <w:sz w:val="20"/>
              </w:rPr>
            </w:r>
          </w:p>
        </w:tc>
        <w:tc>
          <w:tcPr>
            <w:tcW w:w="1854" w:type="dxa"/>
            <w:tcBorders/>
            <w:shd w:color="auto" w:fill="auto" w:val="clear"/>
            <w:tcMar>
              <w:right w:w="108" w:type="dxa"/>
            </w:tcMar>
          </w:tcPr>
          <w:p>
            <w:pPr>
              <w:pStyle w:val="Normal"/>
              <w:widowControl w:val="false"/>
              <w:spacing w:lineRule="auto" w:line="240" w:before="0" w:after="0"/>
              <w:jc w:val="both"/>
              <w:rPr>
                <w:rFonts w:ascii="Times New Roman" w:hAnsi="Times New Roman" w:eastAsia="Times New Roman" w:cs="Times New Roman"/>
                <w:b/>
                <w:b/>
                <w:bCs/>
                <w:sz w:val="20"/>
              </w:rPr>
            </w:pPr>
            <w:r>
              <w:rPr>
                <w:rFonts w:eastAsia="Times New Roman" w:cs="Times New Roman" w:ascii="Times New Roman" w:hAnsi="Times New Roman"/>
                <w:b/>
                <w:bCs/>
                <w:sz w:val="20"/>
              </w:rPr>
            </w:r>
          </w:p>
        </w:tc>
      </w:tr>
      <w:tr>
        <w:trPr>
          <w:trHeight w:val="553"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2.3.1.</w:t>
            </w:r>
          </w:p>
        </w:tc>
        <w:tc>
          <w:tcPr>
            <w:tcW w:w="2482" w:type="dxa"/>
            <w:gridSpan w:val="2"/>
            <w:tcBorders/>
            <w:shd w:color="auto" w:fill="auto" w:val="clear"/>
            <w:tcMar>
              <w:right w:w="108" w:type="dxa"/>
            </w:tcMar>
          </w:tcPr>
          <w:p>
            <w:pPr>
              <w:pStyle w:val="Normal"/>
              <w:widowControl w:val="false"/>
              <w:spacing w:lineRule="auto" w:line="240" w:before="0" w:after="0"/>
              <w:jc w:val="center"/>
              <w:rPr>
                <w:bCs/>
                <w:i/>
                <w:i/>
                <w:sz w:val="24"/>
                <w:szCs w:val="24"/>
              </w:rPr>
            </w:pPr>
            <w:r>
              <w:rPr>
                <w:rFonts w:eastAsia="Times New Roman" w:cs="Times New Roman" w:ascii="Times New Roman" w:hAnsi="Times New Roman"/>
                <w:bCs/>
                <w:i/>
                <w:kern w:val="0"/>
                <w:sz w:val="24"/>
                <w:szCs w:val="24"/>
                <w:lang w:val="ru-RU" w:eastAsia="ru-RU" w:bidi="ar-SA"/>
              </w:rPr>
              <w:t>Требования к передаваемой документации при приемке кадастровых работ, составу передаваемых ПУД на использование ЗУ.</w:t>
            </w:r>
          </w:p>
        </w:tc>
        <w:tc>
          <w:tcPr>
            <w:tcW w:w="9563" w:type="dxa"/>
            <w:gridSpan w:val="2"/>
            <w:tcBorders/>
            <w:shd w:color="auto" w:fill="auto" w:val="clear"/>
            <w:tcMar>
              <w:right w:w="108" w:type="dxa"/>
            </w:tcMar>
          </w:tcPr>
          <w:p>
            <w:pPr>
              <w:pStyle w:val="Standard"/>
              <w:widowControl w:val="false"/>
              <w:suppressAutoHyphens w:val="true"/>
              <w:spacing w:before="0" w:after="0"/>
              <w:jc w:val="both"/>
              <w:rPr>
                <w:rFonts w:ascii="Times New Roman" w:hAnsi="Times New Roman"/>
                <w:sz w:val="24"/>
                <w:szCs w:val="24"/>
              </w:rPr>
            </w:pPr>
            <w:r>
              <w:rPr>
                <w:rFonts w:ascii="Times New Roman" w:hAnsi="Times New Roman"/>
                <w:bCs/>
                <w:kern w:val="0"/>
                <w:sz w:val="24"/>
                <w:szCs w:val="24"/>
                <w:lang w:val="ru-RU" w:eastAsia="ru-RU" w:bidi="ar-SA"/>
              </w:rPr>
              <w:t xml:space="preserve">    </w:t>
            </w:r>
            <w:r>
              <w:rPr>
                <w:rFonts w:ascii="Times New Roman" w:hAnsi="Times New Roman"/>
                <w:iCs/>
                <w:spacing w:val="-7"/>
                <w:kern w:val="0"/>
                <w:sz w:val="24"/>
                <w:szCs w:val="24"/>
                <w:lang w:val="ru-RU" w:eastAsia="ru-RU" w:bidi="ar-SA"/>
              </w:rPr>
              <w:t>1.</w:t>
            </w:r>
            <w:r>
              <w:rPr>
                <w:rFonts w:ascii="Times New Roman" w:hAnsi="Times New Roman"/>
                <w:b/>
                <w:iCs/>
                <w:spacing w:val="-7"/>
                <w:kern w:val="0"/>
                <w:sz w:val="24"/>
                <w:szCs w:val="24"/>
                <w:lang w:val="ru-RU" w:eastAsia="ru-RU" w:bidi="ar-SA"/>
              </w:rPr>
              <w:t xml:space="preserve"> </w:t>
            </w:r>
            <w:r>
              <w:rPr>
                <w:rFonts w:ascii="Times New Roman" w:hAnsi="Times New Roman"/>
                <w:iCs/>
                <w:spacing w:val="-7"/>
                <w:kern w:val="0"/>
                <w:sz w:val="24"/>
                <w:szCs w:val="24"/>
                <w:lang w:val="ru-RU" w:eastAsia="ru-RU" w:bidi="ar-SA"/>
              </w:rPr>
              <w:t>Акты выполненных работ по форме З-1 оформить по каждому объекту строительства таблицы 1, с указанием наименований объектов и заявителя.</w:t>
            </w:r>
          </w:p>
          <w:p>
            <w:pPr>
              <w:pStyle w:val="Standard"/>
              <w:widowControl w:val="false"/>
              <w:shd w:val="clear" w:color="auto" w:fill="FFFFFF"/>
              <w:suppressAutoHyphens w:val="true"/>
              <w:spacing w:before="0" w:after="0"/>
              <w:jc w:val="both"/>
              <w:rPr>
                <w:rFonts w:ascii="Times New Roman" w:hAnsi="Times New Roman"/>
                <w:sz w:val="24"/>
                <w:szCs w:val="24"/>
              </w:rPr>
            </w:pPr>
            <w:r>
              <w:rPr>
                <w:rFonts w:ascii="Times New Roman" w:hAnsi="Times New Roman"/>
                <w:iCs/>
                <w:spacing w:val="-7"/>
                <w:kern w:val="0"/>
                <w:sz w:val="24"/>
                <w:szCs w:val="24"/>
                <w:lang w:val="ru-RU" w:eastAsia="ru-RU" w:bidi="ar-SA"/>
              </w:rPr>
              <w:t xml:space="preserve">    </w:t>
            </w:r>
            <w:r>
              <w:rPr>
                <w:rFonts w:ascii="Times New Roman" w:hAnsi="Times New Roman"/>
                <w:iCs/>
                <w:spacing w:val="-7"/>
                <w:kern w:val="0"/>
                <w:sz w:val="24"/>
                <w:szCs w:val="24"/>
                <w:lang w:val="ru-RU" w:eastAsia="ru-RU" w:bidi="ar-SA"/>
              </w:rPr>
              <w:t xml:space="preserve">2. Вместе с актами выполненных работ Подрядчик передает документы, оформленные в соответствии </w:t>
            </w:r>
            <w:r>
              <w:rPr>
                <w:rFonts w:ascii="Times New Roman" w:hAnsi="Times New Roman"/>
                <w:i/>
                <w:iCs/>
                <w:spacing w:val="-7"/>
                <w:kern w:val="0"/>
                <w:sz w:val="24"/>
                <w:szCs w:val="24"/>
                <w:lang w:val="ru-RU" w:eastAsia="ru-RU" w:bidi="ar-SA"/>
              </w:rPr>
              <w:t xml:space="preserve">с требованиями п.1.1.2. настоящей таблицы, </w:t>
            </w:r>
            <w:r>
              <w:rPr>
                <w:rFonts w:ascii="Times New Roman" w:hAnsi="Times New Roman"/>
                <w:iCs/>
                <w:spacing w:val="-7"/>
                <w:kern w:val="0"/>
                <w:sz w:val="24"/>
                <w:szCs w:val="24"/>
                <w:lang w:val="ru-RU" w:eastAsia="ru-RU" w:bidi="ar-SA"/>
              </w:rPr>
              <w:t>в том числе:</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  выписка из ЕГРН сведения о характеристиках объекта недвижимости;</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 в электронном виде, в формате* pdf;</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 Разрешения на использование земель или земельного участка, части (частей) земельного участка для размещения объектов, выдаваемого органом, уполномоченным на распоряжение земельными участками, находящимися в государственной или муниципальной собственности, в 1 экземпляре на бумажном носителе, электронном виде, в формате* pdf;</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 Схема границ предполагаемых к использованию земель или части земельного участка на кадастровом плане территории, в количестве 4 (четырех) экземпляров на бумажном носителе и в форме электронного документа в виде файлов в формате *.dwg (графическая часть) и *.doc (текстовая часть);</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 Акт закрепления границ земельного(ых) участка(ов) и(или) земель на местности (вынос в натуру) Заказчику в 2 оригинальных экземплярах на бумажном носителе.</w:t>
            </w:r>
          </w:p>
          <w:p>
            <w:pPr>
              <w:pStyle w:val="Standard"/>
              <w:widowControl w:val="false"/>
              <w:shd w:val="clear" w:color="auto" w:fill="FFFFFF"/>
              <w:suppressAutoHyphens w:val="true"/>
              <w:spacing w:before="0" w:after="0"/>
              <w:ind w:firstLine="567"/>
              <w:jc w:val="both"/>
              <w:rPr>
                <w:rFonts w:ascii="Times New Roman" w:hAnsi="Times New Roman"/>
                <w:sz w:val="24"/>
                <w:szCs w:val="24"/>
              </w:rPr>
            </w:pPr>
            <w:r>
              <w:rPr>
                <w:rFonts w:ascii="Times New Roman" w:hAnsi="Times New Roman"/>
                <w:iCs/>
                <w:color w:val="7030A0"/>
                <w:spacing w:val="-7"/>
                <w:kern w:val="0"/>
                <w:sz w:val="24"/>
                <w:szCs w:val="24"/>
                <w:lang w:val="ru-RU" w:eastAsia="ru-RU" w:bidi="ar-SA"/>
              </w:rPr>
              <w:t xml:space="preserve">-  </w:t>
            </w:r>
            <w:r>
              <w:rPr>
                <w:rFonts w:ascii="Times New Roman" w:hAnsi="Times New Roman"/>
                <w:iCs/>
                <w:spacing w:val="-7"/>
                <w:kern w:val="0"/>
                <w:sz w:val="24"/>
                <w:szCs w:val="24"/>
                <w:lang w:val="ru-RU" w:eastAsia="ru-RU" w:bidi="ar-SA"/>
              </w:rPr>
              <w:t>Проект освоения лесов;</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  Лесная декларация;</w:t>
            </w:r>
          </w:p>
          <w:p>
            <w:pPr>
              <w:pStyle w:val="Standard"/>
              <w:widowControl w:val="false"/>
              <w:shd w:val="clear" w:color="auto" w:fill="FFFFFF"/>
              <w:suppressAutoHyphens w:val="true"/>
              <w:spacing w:before="0" w:after="0"/>
              <w:ind w:firstLine="567"/>
              <w:jc w:val="both"/>
              <w:rPr>
                <w:rFonts w:ascii="Times New Roman" w:hAnsi="Times New Roman"/>
                <w:iCs/>
                <w:spacing w:val="-7"/>
                <w:sz w:val="24"/>
                <w:szCs w:val="24"/>
              </w:rPr>
            </w:pPr>
            <w:r>
              <w:rPr>
                <w:rFonts w:ascii="Times New Roman" w:hAnsi="Times New Roman"/>
                <w:iCs/>
                <w:spacing w:val="-7"/>
                <w:kern w:val="0"/>
                <w:sz w:val="24"/>
                <w:szCs w:val="24"/>
                <w:lang w:val="ru-RU" w:eastAsia="ru-RU" w:bidi="ar-SA"/>
              </w:rPr>
              <w:t>-  Соглашение об установлении сервитута на части лесного участка;</w:t>
            </w:r>
          </w:p>
          <w:p>
            <w:pPr>
              <w:pStyle w:val="ListParagraph"/>
              <w:widowControl w:val="false"/>
              <w:tabs>
                <w:tab w:val="clear" w:pos="708"/>
                <w:tab w:val="left" w:pos="607" w:leader="none"/>
                <w:tab w:val="left" w:pos="993" w:leader="none"/>
                <w:tab w:val="left" w:pos="2167" w:leader="none"/>
              </w:tabs>
              <w:spacing w:before="0" w:after="0"/>
              <w:ind w:left="466" w:firstLine="21"/>
              <w:jc w:val="both"/>
              <w:rPr>
                <w:bCs/>
                <w:iCs/>
                <w:spacing w:val="-7"/>
                <w:sz w:val="24"/>
                <w:szCs w:val="24"/>
              </w:rPr>
            </w:pPr>
            <w:r>
              <w:rPr>
                <w:bCs/>
                <w:iCs/>
                <w:spacing w:val="-7"/>
                <w:kern w:val="0"/>
                <w:sz w:val="24"/>
                <w:szCs w:val="24"/>
                <w:lang w:val="ru-RU" w:bidi="ar-SA"/>
              </w:rPr>
              <w:t xml:space="preserve"> </w:t>
            </w:r>
            <w:r>
              <w:rPr>
                <w:bCs/>
                <w:iCs/>
                <w:spacing w:val="-7"/>
                <w:kern w:val="0"/>
                <w:sz w:val="24"/>
                <w:szCs w:val="24"/>
                <w:lang w:bidi="ar-SA"/>
              </w:rPr>
              <w:t>-  Проект лесовосстановления.</w:t>
            </w:r>
          </w:p>
          <w:p>
            <w:pPr>
              <w:pStyle w:val="ListParagraph"/>
              <w:widowControl w:val="false"/>
              <w:tabs>
                <w:tab w:val="clear" w:pos="708"/>
                <w:tab w:val="left" w:pos="910" w:leader="none"/>
                <w:tab w:val="left" w:pos="2167" w:leader="none"/>
              </w:tabs>
              <w:spacing w:before="0" w:after="0"/>
              <w:ind w:left="0" w:firstLine="627"/>
              <w:jc w:val="both"/>
              <w:rPr>
                <w:sz w:val="24"/>
                <w:szCs w:val="24"/>
                <w:lang w:eastAsia="ru-RU"/>
              </w:rPr>
            </w:pPr>
            <w:r>
              <w:rPr>
                <w:rFonts w:eastAsia="Calibri" w:cs="Tahoma"/>
                <w:iCs/>
                <w:color w:val="2A6099"/>
                <w:spacing w:val="-7"/>
                <w:kern w:val="0"/>
                <w:sz w:val="24"/>
                <w:szCs w:val="24"/>
                <w:lang w:val="ru-RU" w:eastAsia="ru-RU" w:bidi="ar-SA"/>
              </w:rPr>
              <w:t>- Отчет об оценке, проведенной в соответствии с законодательством Российской Федерации об оценочной деятельности в целях определения размера платы за публичный сервитут на бумажном носителе в 2 экземплярах</w:t>
            </w:r>
          </w:p>
        </w:tc>
        <w:tc>
          <w:tcPr>
            <w:tcW w:w="3402" w:type="dxa"/>
            <w:gridSpan w:val="2"/>
            <w:vMerge w:val="restart"/>
            <w:tcBorders>
              <w:bottom w:val="single" w:sz="4" w:space="0" w:color="00000A"/>
            </w:tcBorders>
            <w:shd w:color="auto" w:fill="auto" w:val="clear"/>
            <w:tcMar>
              <w:right w:w="108" w:type="dxa"/>
            </w:tcMar>
          </w:tcPr>
          <w:p>
            <w:pPr>
              <w:pStyle w:val="Normal"/>
              <w:widowControl w:val="false"/>
              <w:spacing w:lineRule="auto" w:line="240" w:before="0" w:after="0"/>
              <w:jc w:val="center"/>
              <w:rPr>
                <w:kern w:val="0"/>
                <w:lang w:val="ru-RU" w:eastAsia="ru-RU" w:bidi="ar-SA"/>
              </w:rPr>
            </w:pPr>
            <w:r>
              <w:rPr>
                <w:rFonts w:eastAsia="Times New Roman" w:cs="Times New Roman" w:ascii="Times New Roman" w:hAnsi="Times New Roman"/>
                <w:i/>
                <w:iCs/>
                <w:kern w:val="0"/>
                <w:sz w:val="24"/>
                <w:szCs w:val="24"/>
                <w:lang w:val="ru-RU" w:eastAsia="ru-RU" w:bidi="ar-SA"/>
              </w:rPr>
              <w:t>Участник должен предоставить в заявке согласие закупить материалы и оборудование, и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trPr>
          <w:trHeight w:val="553" w:hRule="atLeast"/>
        </w:trPr>
        <w:tc>
          <w:tcPr>
            <w:tcW w:w="565" w:type="dx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2.3.2.</w:t>
            </w:r>
          </w:p>
        </w:tc>
        <w:tc>
          <w:tcPr>
            <w:tcW w:w="2482" w:type="dxa"/>
            <w:gridSpan w:val="2"/>
            <w:tcBorders/>
            <w:shd w:color="auto" w:fill="auto" w:val="clear"/>
            <w:tcMar>
              <w:right w:w="108" w:type="dxa"/>
            </w:tcMar>
          </w:tcPr>
          <w:p>
            <w:pPr>
              <w:pStyle w:val="Normal"/>
              <w:widowControl w:val="false"/>
              <w:spacing w:lineRule="auto" w:line="240" w:before="0" w:after="0"/>
              <w:jc w:val="center"/>
              <w:rPr>
                <w:bCs/>
                <w:i/>
                <w:i/>
                <w:sz w:val="24"/>
                <w:szCs w:val="24"/>
              </w:rPr>
            </w:pPr>
            <w:r>
              <w:rPr>
                <w:rFonts w:eastAsia="Times New Roman" w:cs="Times New Roman" w:ascii="Times New Roman" w:hAnsi="Times New Roman"/>
                <w:bCs/>
                <w:i/>
                <w:kern w:val="0"/>
                <w:sz w:val="24"/>
                <w:szCs w:val="24"/>
                <w:lang w:val="ru-RU" w:eastAsia="ru-RU" w:bidi="ar-SA"/>
              </w:rPr>
              <w:t>Требования к передаваемой документации при приемке проектных работ</w:t>
            </w:r>
          </w:p>
        </w:tc>
        <w:tc>
          <w:tcPr>
            <w:tcW w:w="9563" w:type="dxa"/>
            <w:gridSpan w:val="2"/>
            <w:tcBorders/>
            <w:shd w:color="auto" w:fill="auto" w:val="clear"/>
            <w:tcMar>
              <w:right w:w="108" w:type="dxa"/>
            </w:tcMar>
          </w:tcPr>
          <w:p>
            <w:pPr>
              <w:pStyle w:val="Standard"/>
              <w:widowControl w:val="false"/>
              <w:shd w:val="clear" w:color="auto" w:fill="FFFFFF"/>
              <w:suppressAutoHyphens w:val="true"/>
              <w:spacing w:before="0" w:after="0"/>
              <w:ind w:firstLine="567"/>
              <w:jc w:val="both"/>
              <w:rPr>
                <w:rFonts w:ascii="Times New Roman" w:hAnsi="Times New Roman"/>
                <w:sz w:val="24"/>
                <w:szCs w:val="24"/>
              </w:rPr>
            </w:pPr>
            <w:r>
              <w:rPr>
                <w:rFonts w:eastAsia="Times New Roman" w:cs="Times New Roman" w:ascii="Times New Roman" w:hAnsi="Times New Roman"/>
                <w:kern w:val="0"/>
                <w:sz w:val="24"/>
                <w:szCs w:val="24"/>
                <w:lang w:val="ru-RU" w:eastAsia="ru-RU" w:bidi="ar-SA"/>
              </w:rPr>
              <w:t xml:space="preserve">1. Подрядчик в день завершения работ по оформлению рабочей документации, направляет в филиал АО «ДРСК» «ПЭС» Акт сдачи-приемки выполненных работ, оформленный по форме ПР-2, с указанием сумм </w:t>
            </w:r>
            <w:r>
              <w:rPr>
                <w:rFonts w:eastAsia="Times New Roman" w:cs="Times New Roman" w:ascii="Times New Roman" w:hAnsi="Times New Roman"/>
                <w:iCs/>
                <w:spacing w:val="-7"/>
                <w:kern w:val="0"/>
                <w:sz w:val="24"/>
                <w:szCs w:val="24"/>
                <w:lang w:val="ru-RU" w:eastAsia="ru-RU" w:bidi="ar-SA"/>
              </w:rPr>
              <w:t>по каждому объекту таблицы 1, с указанием наименований объектов и заявителя.</w:t>
            </w:r>
          </w:p>
          <w:p>
            <w:pPr>
              <w:pStyle w:val="Standard"/>
              <w:widowControl w:val="false"/>
              <w:shd w:val="clear" w:color="auto" w:fill="FFFFFF"/>
              <w:tabs>
                <w:tab w:val="clear" w:pos="708"/>
                <w:tab w:val="left" w:pos="607" w:leader="none"/>
                <w:tab w:val="left" w:pos="851" w:leader="none"/>
                <w:tab w:val="left" w:pos="993" w:leader="none"/>
                <w:tab w:val="left" w:pos="2167" w:leader="none"/>
              </w:tabs>
              <w:suppressAutoHyphens w:val="true"/>
              <w:spacing w:before="0" w:after="0"/>
              <w:ind w:firstLine="567"/>
              <w:jc w:val="both"/>
              <w:rPr>
                <w:rFonts w:ascii="Times New Roman" w:hAnsi="Times New Roman"/>
                <w:sz w:val="24"/>
                <w:szCs w:val="24"/>
              </w:rPr>
            </w:pPr>
            <w:r>
              <w:rPr>
                <w:rFonts w:eastAsia="Times New Roman" w:cs="Times New Roman" w:ascii="Times New Roman" w:hAnsi="Times New Roman"/>
                <w:iCs/>
                <w:spacing w:val="-7"/>
                <w:kern w:val="0"/>
                <w:sz w:val="24"/>
                <w:szCs w:val="24"/>
                <w:lang w:val="ru-RU" w:eastAsia="ru-RU" w:bidi="ar-SA"/>
              </w:rPr>
              <w:t xml:space="preserve">2. Вместе с актами выполненных работ Подрядчик передает </w:t>
            </w:r>
            <w:r>
              <w:rPr>
                <w:rFonts w:eastAsia="Times New Roman" w:cs="Times New Roman" w:ascii="Times New Roman" w:hAnsi="Times New Roman"/>
                <w:bCs/>
                <w:iCs/>
                <w:spacing w:val="-7"/>
                <w:kern w:val="0"/>
                <w:sz w:val="24"/>
                <w:szCs w:val="24"/>
                <w:lang w:val="ru-RU" w:eastAsia="ru-RU" w:bidi="ar-SA"/>
              </w:rPr>
              <w:t xml:space="preserve">по акту приемки-передачи </w:t>
            </w:r>
            <w:r>
              <w:rPr>
                <w:rFonts w:eastAsia="Times New Roman" w:cs="Times New Roman" w:ascii="Times New Roman" w:hAnsi="Times New Roman"/>
                <w:iCs/>
                <w:spacing w:val="-7"/>
                <w:kern w:val="0"/>
                <w:sz w:val="24"/>
                <w:szCs w:val="24"/>
                <w:lang w:val="ru-RU" w:eastAsia="ru-RU" w:bidi="ar-SA"/>
              </w:rPr>
              <w:t xml:space="preserve">проектную (рабочую) документацию и сметную документацию на выполнение СМР в бумажном и электронном виде </w:t>
            </w:r>
            <w:r>
              <w:rPr>
                <w:rFonts w:eastAsia="Times New Roman" w:cs="Times New Roman" w:ascii="Times New Roman" w:hAnsi="Times New Roman"/>
                <w:bCs/>
                <w:kern w:val="0"/>
                <w:sz w:val="24"/>
                <w:szCs w:val="24"/>
                <w:lang w:val="ru-RU" w:eastAsia="ru-RU" w:bidi="ar-SA"/>
              </w:rPr>
              <w:t>в следующие подразделения филиала АО «ДРСК» «ПЭС» и в следующем порядке:</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eastAsia="Times New Roman" w:cs="Times New Roman" w:ascii="Times New Roman" w:hAnsi="Times New Roman"/>
                <w:bCs/>
                <w:kern w:val="0"/>
                <w:sz w:val="24"/>
                <w:szCs w:val="24"/>
                <w:lang w:val="ru-RU" w:eastAsia="ru-RU" w:bidi="ar-SA"/>
              </w:rPr>
              <w:t>- в РЭС - 1 бумажный экземпляр ПД (РД);</w:t>
            </w:r>
          </w:p>
          <w:p>
            <w:pPr>
              <w:pStyle w:val="Standard"/>
              <w:widowControl w:val="false"/>
              <w:tabs>
                <w:tab w:val="clear" w:pos="708"/>
                <w:tab w:val="left" w:pos="0" w:leader="none"/>
              </w:tabs>
              <w:suppressAutoHyphens w:val="true"/>
              <w:spacing w:before="0" w:after="0"/>
              <w:ind w:firstLine="567"/>
              <w:jc w:val="both"/>
              <w:rPr>
                <w:rFonts w:ascii="Times New Roman" w:hAnsi="Times New Roman"/>
                <w:bCs/>
                <w:sz w:val="24"/>
                <w:szCs w:val="24"/>
              </w:rPr>
            </w:pPr>
            <w:r>
              <w:rPr>
                <w:rFonts w:eastAsia="Times New Roman" w:cs="Times New Roman" w:ascii="Times New Roman" w:hAnsi="Times New Roman"/>
                <w:bCs/>
                <w:kern w:val="0"/>
                <w:sz w:val="24"/>
                <w:szCs w:val="24"/>
                <w:lang w:val="ru-RU" w:eastAsia="ru-RU" w:bidi="ar-SA"/>
              </w:rPr>
              <w:t>- в СП - 1 бумажный экземпляр ПД (РД);</w:t>
            </w:r>
          </w:p>
          <w:p>
            <w:pPr>
              <w:pStyle w:val="Standard"/>
              <w:widowControl w:val="false"/>
              <w:shd w:val="clear" w:color="auto" w:fill="FFFFFF"/>
              <w:tabs>
                <w:tab w:val="clear" w:pos="708"/>
                <w:tab w:val="left" w:pos="0" w:leader="none"/>
              </w:tabs>
              <w:suppressAutoHyphens w:val="true"/>
              <w:spacing w:before="0" w:after="0"/>
              <w:ind w:firstLine="567"/>
              <w:jc w:val="both"/>
              <w:rPr>
                <w:rFonts w:ascii="Times New Roman" w:hAnsi="Times New Roman"/>
                <w:sz w:val="24"/>
                <w:szCs w:val="24"/>
              </w:rPr>
            </w:pPr>
            <w:r>
              <w:rPr>
                <w:rFonts w:eastAsia="Times New Roman" w:cs="Times New Roman" w:ascii="Times New Roman" w:hAnsi="Times New Roman"/>
                <w:bCs/>
                <w:iCs/>
                <w:color w:val="000000"/>
                <w:spacing w:val="-7"/>
                <w:kern w:val="0"/>
                <w:sz w:val="24"/>
                <w:szCs w:val="24"/>
                <w:lang w:val="ru-RU" w:eastAsia="ru-RU" w:bidi="ar-SA"/>
              </w:rPr>
              <w:t xml:space="preserve">- в Отдел капитального строительства и инвестиций филиала ПЭС сопроводительным письмом (1 бумажный экземпляр проектной (рабочей) документации, оформленный в соответствии с п.1.1.4 настоящей таблицы, и сметной документации на выполнение СМР и 1 экземпляр ПСД в электронном виде (на </w:t>
            </w:r>
            <w:r>
              <w:rPr>
                <w:rFonts w:eastAsia="Times New Roman" w:cs="Times New Roman" w:ascii="Times New Roman" w:hAnsi="Times New Roman"/>
                <w:bCs/>
                <w:iCs/>
                <w:color w:val="000000"/>
                <w:spacing w:val="-7"/>
                <w:kern w:val="0"/>
                <w:sz w:val="24"/>
                <w:szCs w:val="24"/>
                <w:lang w:val="en-US" w:eastAsia="ru-RU" w:bidi="ar-SA"/>
              </w:rPr>
              <w:t>CD</w:t>
            </w:r>
            <w:r>
              <w:rPr>
                <w:rFonts w:eastAsia="Times New Roman" w:cs="Times New Roman" w:ascii="Times New Roman" w:hAnsi="Times New Roman"/>
                <w:bCs/>
                <w:iCs/>
                <w:color w:val="000000"/>
                <w:spacing w:val="-7"/>
                <w:kern w:val="0"/>
                <w:sz w:val="24"/>
                <w:szCs w:val="24"/>
                <w:lang w:val="ru-RU" w:eastAsia="ru-RU" w:bidi="ar-SA"/>
              </w:rPr>
              <w:t xml:space="preserve">) </w:t>
            </w:r>
            <w:r>
              <w:rPr>
                <w:rFonts w:eastAsia="Times New Roman" w:cs="Times New Roman" w:ascii="Times New Roman" w:hAnsi="Times New Roman"/>
                <w:iCs/>
                <w:color w:val="000000"/>
                <w:spacing w:val="-7"/>
                <w:kern w:val="0"/>
                <w:sz w:val="24"/>
                <w:szCs w:val="24"/>
                <w:lang w:val="ru-RU" w:eastAsia="ru-RU" w:bidi="ar-SA"/>
              </w:rPr>
              <w:t>в форматах:</w:t>
            </w:r>
          </w:p>
          <w:p>
            <w:pPr>
              <w:pStyle w:val="Standard"/>
              <w:widowControl w:val="false"/>
              <w:shd w:val="clear" w:color="auto" w:fill="FFFFFF"/>
              <w:tabs>
                <w:tab w:val="clear" w:pos="708"/>
                <w:tab w:val="left" w:pos="607" w:leader="none"/>
                <w:tab w:val="left" w:pos="851" w:leader="none"/>
                <w:tab w:val="left" w:pos="993" w:leader="none"/>
                <w:tab w:val="left" w:pos="2167" w:leader="none"/>
              </w:tabs>
              <w:suppressAutoHyphens w:val="true"/>
              <w:spacing w:before="0" w:after="0"/>
              <w:ind w:firstLine="567"/>
              <w:jc w:val="both"/>
              <w:rPr>
                <w:rFonts w:ascii="Times New Roman" w:hAnsi="Times New Roman" w:eastAsia="Times New Roman" w:cs="Times New Roman"/>
                <w:iCs/>
                <w:color w:val="000000"/>
                <w:spacing w:val="-7"/>
                <w:sz w:val="24"/>
                <w:szCs w:val="24"/>
              </w:rPr>
            </w:pPr>
            <w:r>
              <w:rPr>
                <w:rFonts w:eastAsia="Times New Roman" w:cs="Times New Roman" w:ascii="Times New Roman" w:hAnsi="Times New Roman"/>
                <w:iCs/>
                <w:color w:val="000000"/>
                <w:spacing w:val="-7"/>
                <w:sz w:val="24"/>
                <w:szCs w:val="24"/>
              </w:rPr>
            </w:r>
          </w:p>
          <w:tbl>
            <w:tblPr>
              <w:tblW w:w="9088" w:type="dxa"/>
              <w:jc w:val="left"/>
              <w:tblInd w:w="291" w:type="dxa"/>
              <w:tblLayout w:type="fixed"/>
              <w:tblCellMar>
                <w:top w:w="0" w:type="dxa"/>
                <w:left w:w="5" w:type="dxa"/>
                <w:bottom w:w="0" w:type="dxa"/>
                <w:right w:w="93" w:type="dxa"/>
              </w:tblCellMar>
              <w:tblLook w:val="04a0" w:noHBand="0" w:noVBand="1" w:firstColumn="1" w:lastRow="0" w:lastColumn="0" w:firstRow="1"/>
            </w:tblPr>
            <w:tblGrid>
              <w:gridCol w:w="3138"/>
              <w:gridCol w:w="4943"/>
              <w:gridCol w:w="1007"/>
            </w:tblGrid>
            <w:tr>
              <w:trPr>
                <w:trHeight w:val="522" w:hRule="atLeast"/>
              </w:trPr>
              <w:tc>
                <w:tcPr>
                  <w:tcW w:w="313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b/>
                      <w:b/>
                      <w:sz w:val="24"/>
                      <w:szCs w:val="24"/>
                    </w:rPr>
                  </w:pPr>
                  <w:r>
                    <w:rPr>
                      <w:rFonts w:eastAsia="Times New Roman" w:cs="Times New Roman" w:ascii="Times New Roman" w:hAnsi="Times New Roman"/>
                      <w:b/>
                      <w:sz w:val="24"/>
                      <w:szCs w:val="24"/>
                      <w:lang w:eastAsia="ru-RU"/>
                    </w:rPr>
                    <w:t>Вид документа</w:t>
                  </w:r>
                </w:p>
              </w:tc>
              <w:tc>
                <w:tcPr>
                  <w:tcW w:w="49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b/>
                      <w:b/>
                      <w:sz w:val="24"/>
                      <w:szCs w:val="24"/>
                    </w:rPr>
                  </w:pPr>
                  <w:r>
                    <w:rPr>
                      <w:rFonts w:eastAsia="Times New Roman" w:cs="Times New Roman" w:ascii="Times New Roman" w:hAnsi="Times New Roman"/>
                      <w:b/>
                      <w:sz w:val="24"/>
                      <w:szCs w:val="24"/>
                      <w:lang w:eastAsia="ru-RU"/>
                    </w:rPr>
                    <w:t>Используемое приложение</w:t>
                  </w:r>
                </w:p>
              </w:tc>
              <w:tc>
                <w:tcPr>
                  <w:tcW w:w="100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b/>
                      <w:b/>
                      <w:sz w:val="24"/>
                      <w:szCs w:val="24"/>
                    </w:rPr>
                  </w:pPr>
                  <w:r>
                    <w:rPr>
                      <w:rFonts w:eastAsia="Times New Roman" w:cs="Times New Roman" w:ascii="Times New Roman" w:hAnsi="Times New Roman"/>
                      <w:b/>
                      <w:sz w:val="24"/>
                      <w:szCs w:val="24"/>
                      <w:lang w:eastAsia="ru-RU"/>
                    </w:rPr>
                    <w:t>Формат</w:t>
                  </w:r>
                </w:p>
              </w:tc>
            </w:tr>
            <w:tr>
              <w:trPr/>
              <w:tc>
                <w:tcPr>
                  <w:tcW w:w="313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Текстовая часть, описания</w:t>
                  </w:r>
                </w:p>
              </w:tc>
              <w:tc>
                <w:tcPr>
                  <w:tcW w:w="49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Word   </w:t>
                  </w:r>
                  <w:r>
                    <w:rPr>
                      <w:rFonts w:eastAsia="Times New Roman" w:cs="Times New Roman" w:ascii="Times New Roman" w:hAnsi="Times New Roman"/>
                      <w:sz w:val="24"/>
                      <w:szCs w:val="24"/>
                      <w:lang w:eastAsia="ru-RU"/>
                    </w:rPr>
                    <w:t>и</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.doc</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Таблицы</w:t>
                  </w:r>
                </w:p>
              </w:tc>
              <w:tc>
                <w:tcPr>
                  <w:tcW w:w="49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Excel    </w:t>
                  </w:r>
                  <w:r>
                    <w:rPr>
                      <w:rFonts w:eastAsia="Times New Roman" w:cs="Times New Roman" w:ascii="Times New Roman" w:hAnsi="Times New Roman"/>
                      <w:sz w:val="24"/>
                      <w:szCs w:val="24"/>
                      <w:lang w:eastAsia="ru-RU"/>
                    </w:rPr>
                    <w:t>и</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.xls</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Базы данных</w:t>
                  </w:r>
                </w:p>
              </w:tc>
              <w:tc>
                <w:tcPr>
                  <w:tcW w:w="49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Excel   </w:t>
                  </w:r>
                  <w:r>
                    <w:rPr>
                      <w:rFonts w:eastAsia="Times New Roman" w:cs="Times New Roman" w:ascii="Times New Roman" w:hAnsi="Times New Roman"/>
                      <w:sz w:val="24"/>
                      <w:szCs w:val="24"/>
                      <w:lang w:eastAsia="ru-RU"/>
                    </w:rPr>
                    <w:t>и</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.xls</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Планы, графики</w:t>
                  </w:r>
                </w:p>
              </w:tc>
              <w:tc>
                <w:tcPr>
                  <w:tcW w:w="49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Project    </w:t>
                  </w:r>
                  <w:r>
                    <w:rPr>
                      <w:rFonts w:eastAsia="Times New Roman" w:cs="Times New Roman" w:ascii="Times New Roman" w:hAnsi="Times New Roman"/>
                      <w:sz w:val="24"/>
                      <w:szCs w:val="24"/>
                      <w:lang w:eastAsia="ru-RU"/>
                    </w:rPr>
                    <w:t>и</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MS Excel</w:t>
                  </w:r>
                </w:p>
              </w:tc>
              <w:tc>
                <w:tcPr>
                  <w:tcW w:w="100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.mpp</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.xls</w:t>
                  </w:r>
                </w:p>
              </w:tc>
            </w:tr>
            <w:tr>
              <w:trPr/>
              <w:tc>
                <w:tcPr>
                  <w:tcW w:w="313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Чертежи</w:t>
                  </w:r>
                </w:p>
              </w:tc>
              <w:tc>
                <w:tcPr>
                  <w:tcW w:w="49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val="en-US" w:eastAsia="ru-RU"/>
                    </w:rPr>
                    <w:t>AutoCAD</w:t>
                  </w:r>
                  <w:r>
                    <w:rPr>
                      <w:rFonts w:eastAsia="Times New Roman" w:cs="Times New Roman" w:ascii="Times New Roman" w:hAnsi="Times New Roman"/>
                      <w:sz w:val="24"/>
                      <w:szCs w:val="24"/>
                      <w:lang w:eastAsia="ru-RU"/>
                    </w:rPr>
                    <w:t xml:space="preserve">    и</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.dwg</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Графический материал</w:t>
                  </w:r>
                </w:p>
              </w:tc>
              <w:tc>
                <w:tcPr>
                  <w:tcW w:w="49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Photo Editor    </w:t>
                  </w:r>
                  <w:r>
                    <w:rPr>
                      <w:rFonts w:eastAsia="Times New Roman" w:cs="Times New Roman" w:ascii="Times New Roman" w:hAnsi="Times New Roman"/>
                      <w:sz w:val="24"/>
                      <w:szCs w:val="24"/>
                      <w:lang w:eastAsia="ru-RU"/>
                    </w:rPr>
                    <w:t>и</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.jpg</w:t>
                  </w:r>
                </w:p>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rHeight w:val="479" w:hRule="atLeast"/>
              </w:trPr>
              <w:tc>
                <w:tcPr>
                  <w:tcW w:w="313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Электронный архив</w:t>
                  </w:r>
                </w:p>
              </w:tc>
              <w:tc>
                <w:tcPr>
                  <w:tcW w:w="49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WinRar</w:t>
                  </w:r>
                </w:p>
              </w:tc>
              <w:tc>
                <w:tcPr>
                  <w:tcW w:w="100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val="en-US" w:eastAsia="ru-RU"/>
                    </w:rPr>
                    <w:t xml:space="preserve">.rar </w:t>
                  </w:r>
                  <w:r>
                    <w:rPr>
                      <w:rFonts w:eastAsia="Times New Roman" w:cs="Times New Roman" w:ascii="Times New Roman" w:hAnsi="Times New Roman"/>
                      <w:sz w:val="24"/>
                      <w:szCs w:val="24"/>
                      <w:lang w:eastAsia="ru-RU"/>
                    </w:rPr>
                    <w:t>*</w:t>
                  </w:r>
                </w:p>
              </w:tc>
            </w:tr>
            <w:tr>
              <w:trPr/>
              <w:tc>
                <w:tcPr>
                  <w:tcW w:w="313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Сметная документация</w:t>
                  </w:r>
                </w:p>
              </w:tc>
              <w:tc>
                <w:tcPr>
                  <w:tcW w:w="49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val="en-US" w:eastAsia="ru-RU"/>
                    </w:rPr>
                    <w:t>MS</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val="en-US" w:eastAsia="ru-RU"/>
                    </w:rPr>
                    <w:t>Excel</w:t>
                  </w:r>
                  <w:r>
                    <w:rPr>
                      <w:rFonts w:eastAsia="Times New Roman" w:cs="Times New Roman" w:ascii="Times New Roman" w:hAnsi="Times New Roman"/>
                      <w:sz w:val="24"/>
                      <w:szCs w:val="24"/>
                      <w:lang w:eastAsia="ru-RU"/>
                    </w:rPr>
                    <w:t xml:space="preserve"> и в формате программы «ГРАНД СМЕТА», позволяющем вести накопительные ведомости по локальным сметам.</w:t>
                  </w:r>
                </w:p>
              </w:tc>
              <w:tc>
                <w:tcPr>
                  <w:tcW w:w="100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w:t>
                  </w:r>
                  <w:r>
                    <w:rPr>
                      <w:rFonts w:eastAsia="Times New Roman" w:cs="Times New Roman" w:ascii="Times New Roman" w:hAnsi="Times New Roman"/>
                      <w:sz w:val="24"/>
                      <w:szCs w:val="24"/>
                      <w:lang w:val="en-US" w:eastAsia="ru-RU"/>
                    </w:rPr>
                    <w:t>xls</w:t>
                  </w:r>
                </w:p>
                <w:p>
                  <w:pPr>
                    <w:pStyle w:val="Standard"/>
                    <w:widowControl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w:t>
                  </w:r>
                  <w:r>
                    <w:rPr>
                      <w:rFonts w:eastAsia="Times New Roman" w:cs="Times New Roman" w:ascii="Times New Roman" w:hAnsi="Times New Roman"/>
                      <w:sz w:val="24"/>
                      <w:szCs w:val="24"/>
                      <w:lang w:val="en-US" w:eastAsia="ru-RU"/>
                    </w:rPr>
                    <w:t>gsf</w:t>
                  </w:r>
                </w:p>
              </w:tc>
            </w:tr>
          </w:tbl>
          <w:p>
            <w:pPr>
              <w:pStyle w:val="Standard"/>
              <w:widowControl w:val="false"/>
              <w:jc w:val="both"/>
              <w:rPr>
                <w:rFonts w:ascii="Times New Roman" w:hAnsi="Times New Roman"/>
                <w:bCs/>
                <w:sz w:val="24"/>
                <w:szCs w:val="24"/>
              </w:rPr>
            </w:pPr>
            <w:r>
              <w:rPr>
                <w:rFonts w:eastAsia="Times New Roman" w:cs="Times New Roman" w:ascii="Times New Roman" w:hAnsi="Times New Roman"/>
                <w:bCs/>
                <w:iCs/>
                <w:color w:val="000000"/>
                <w:spacing w:val="-7"/>
                <w:sz w:val="24"/>
                <w:szCs w:val="24"/>
              </w:rPr>
              <w:t xml:space="preserve"> </w:t>
            </w:r>
            <w:r>
              <w:rPr>
                <w:rFonts w:eastAsia="Times New Roman" w:cs="Times New Roman" w:ascii="Times New Roman" w:hAnsi="Times New Roman"/>
                <w:bCs/>
                <w:iCs/>
                <w:color w:val="000000"/>
                <w:spacing w:val="-7"/>
                <w:sz w:val="24"/>
                <w:szCs w:val="24"/>
              </w:rPr>
              <w:t>*- материалы каждого тома проекта компоновать в одном файле</w:t>
            </w:r>
          </w:p>
        </w:tc>
        <w:tc>
          <w:tcPr>
            <w:tcW w:w="3402" w:type="dxa"/>
            <w:gridSpan w:val="2"/>
            <w:vMerge w:val="continue"/>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lineRule="auto" w:line="240" w:before="0" w:after="0"/>
              <w:jc w:val="center"/>
              <w:rPr>
                <w:i/>
                <w:i/>
                <w:iCs/>
                <w:sz w:val="24"/>
              </w:rPr>
            </w:pPr>
            <w:r>
              <w:rPr>
                <w:i/>
                <w:iCs/>
                <w:sz w:val="24"/>
              </w:rPr>
            </w:r>
          </w:p>
        </w:tc>
      </w:tr>
      <w:tr>
        <w:trPr/>
        <w:tc>
          <w:tcPr>
            <w:tcW w:w="56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ind w:left="123" w:hanging="0"/>
              <w:jc w:val="center"/>
              <w:rPr>
                <w:b/>
                <w:b/>
                <w:bCs/>
                <w:sz w:val="24"/>
                <w:szCs w:val="24"/>
              </w:rPr>
            </w:pPr>
            <w:r>
              <w:rPr>
                <w:rFonts w:eastAsia="Times New Roman" w:cs="Times New Roman" w:ascii="Times New Roman" w:hAnsi="Times New Roman"/>
                <w:b/>
                <w:bCs/>
                <w:kern w:val="0"/>
                <w:sz w:val="24"/>
                <w:szCs w:val="24"/>
                <w:lang w:val="ru-RU" w:eastAsia="ru-RU" w:bidi="ar-SA"/>
              </w:rPr>
              <w:t>3.</w:t>
            </w:r>
          </w:p>
        </w:tc>
        <w:tc>
          <w:tcPr>
            <w:tcW w:w="12045" w:type="dxa"/>
            <w:gridSpan w:val="4"/>
            <w:tcBorders>
              <w:top w:val="single" w:sz="4" w:space="0" w:color="00000A"/>
              <w:left w:val="single" w:sz="4" w:space="0" w:color="00000A"/>
              <w:bottom w:val="single" w:sz="4" w:space="0" w:color="00000A"/>
              <w:right w:val="single" w:sz="4" w:space="0" w:color="00000A"/>
            </w:tcBorders>
            <w:shd w:color="auto" w:fill="auto" w:val="clear"/>
            <w:tcMar>
              <w:right w:w="108" w:type="dxa"/>
            </w:tcMar>
            <w:vAlign w:val="center"/>
          </w:tcPr>
          <w:p>
            <w:pPr>
              <w:pStyle w:val="Normal"/>
              <w:widowControl w:val="false"/>
              <w:spacing w:lineRule="auto" w:line="240" w:before="0" w:after="0"/>
              <w:jc w:val="both"/>
              <w:rPr>
                <w:b/>
                <w:b/>
                <w:bCs/>
                <w:sz w:val="24"/>
                <w:szCs w:val="24"/>
              </w:rPr>
            </w:pPr>
            <w:r>
              <w:rPr>
                <w:rFonts w:eastAsia="Times New Roman" w:cs="Times New Roman" w:ascii="Times New Roman" w:hAnsi="Times New Roman"/>
                <w:b/>
                <w:bCs/>
                <w:kern w:val="0"/>
                <w:sz w:val="24"/>
                <w:szCs w:val="24"/>
                <w:lang w:val="ru-RU" w:eastAsia="ru-RU" w:bidi="ar-SA"/>
              </w:rPr>
              <w:t>Требования к ответственности и гарантиям подрядчика</w:t>
            </w:r>
          </w:p>
        </w:tc>
        <w:tc>
          <w:tcPr>
            <w:tcW w:w="1548"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lineRule="auto" w:line="240" w:before="0" w:after="0"/>
              <w:jc w:val="both"/>
              <w:rPr>
                <w:rFonts w:ascii="Times New Roman" w:hAnsi="Times New Roman" w:eastAsia="Times New Roman" w:cs="Times New Roman"/>
                <w:b/>
                <w:b/>
                <w:bCs/>
                <w:sz w:val="20"/>
              </w:rPr>
            </w:pPr>
            <w:r>
              <w:rPr>
                <w:rFonts w:eastAsia="Times New Roman" w:cs="Times New Roman" w:ascii="Times New Roman" w:hAnsi="Times New Roman"/>
                <w:b/>
                <w:bCs/>
                <w:sz w:val="20"/>
              </w:rPr>
            </w:r>
          </w:p>
        </w:tc>
        <w:tc>
          <w:tcPr>
            <w:tcW w:w="1854"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lineRule="auto" w:line="240" w:before="0" w:after="0"/>
              <w:jc w:val="both"/>
              <w:rPr>
                <w:rFonts w:ascii="Times New Roman" w:hAnsi="Times New Roman" w:eastAsia="Times New Roman" w:cs="Times New Roman"/>
                <w:b/>
                <w:b/>
                <w:bCs/>
                <w:sz w:val="20"/>
              </w:rPr>
            </w:pPr>
            <w:r>
              <w:rPr>
                <w:rFonts w:eastAsia="Times New Roman" w:cs="Times New Roman" w:ascii="Times New Roman" w:hAnsi="Times New Roman"/>
                <w:b/>
                <w:bCs/>
                <w:sz w:val="20"/>
              </w:rPr>
            </w:r>
          </w:p>
        </w:tc>
      </w:tr>
      <w:tr>
        <w:trPr>
          <w:trHeight w:val="439" w:hRule="atLeast"/>
        </w:trPr>
        <w:tc>
          <w:tcPr>
            <w:tcW w:w="56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3.1.1.</w:t>
            </w:r>
          </w:p>
        </w:tc>
        <w:tc>
          <w:tcPr>
            <w:tcW w:w="2511" w:type="dxa"/>
            <w:gridSpan w:val="3"/>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tabs>
                <w:tab w:val="clear" w:pos="708"/>
                <w:tab w:val="left" w:pos="0" w:leader="none"/>
                <w:tab w:val="left" w:pos="993" w:leader="none"/>
                <w:tab w:val="left" w:pos="1418" w:leader="none"/>
              </w:tabs>
              <w:spacing w:lineRule="auto" w:line="240" w:before="0" w:after="0"/>
              <w:contextualSpacing/>
              <w:jc w:val="both"/>
              <w:rPr>
                <w:sz w:val="24"/>
                <w:szCs w:val="24"/>
              </w:rPr>
            </w:pPr>
            <w:r>
              <w:rPr>
                <w:rFonts w:eastAsia="Times New Roman" w:cs="Times New Roman" w:ascii="Times New Roman" w:hAnsi="Times New Roman"/>
                <w:bCs/>
                <w:i/>
                <w:kern w:val="0"/>
                <w:sz w:val="24"/>
                <w:szCs w:val="24"/>
                <w:lang w:val="ru-RU" w:eastAsia="ru-RU" w:bidi="ar-SA"/>
              </w:rPr>
              <w:t>Требования к гарантиям подрядчика</w:t>
            </w:r>
          </w:p>
        </w:tc>
        <w:tc>
          <w:tcPr>
            <w:tcW w:w="9534"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tabs>
                <w:tab w:val="clear" w:pos="708"/>
                <w:tab w:val="left" w:pos="0" w:leader="none"/>
                <w:tab w:val="left" w:pos="993" w:leader="none"/>
                <w:tab w:val="left" w:pos="1418" w:leader="none"/>
              </w:tabs>
              <w:spacing w:lineRule="auto" w:line="240" w:before="0" w:after="0"/>
              <w:contextualSpacing/>
              <w:jc w:val="both"/>
              <w:rPr>
                <w:sz w:val="24"/>
                <w:szCs w:val="24"/>
              </w:rPr>
            </w:pPr>
            <w:r>
              <w:rPr>
                <w:rFonts w:eastAsia="Times New Roman" w:cs="Times New Roman" w:ascii="Times New Roman" w:hAnsi="Times New Roman"/>
                <w:kern w:val="0"/>
                <w:sz w:val="24"/>
                <w:szCs w:val="24"/>
                <w:lang w:val="ru-RU" w:eastAsia="ru-RU" w:bidi="ar-SA"/>
              </w:rPr>
              <w:t>Требования к гарантиям определены проектом договора подряда.</w:t>
            </w:r>
          </w:p>
        </w:tc>
        <w:tc>
          <w:tcPr>
            <w:tcW w:w="3402" w:type="dxa"/>
            <w:gridSpan w:val="2"/>
            <w:vMerge w:val="restart"/>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lineRule="auto" w:line="240" w:before="0" w:after="0"/>
              <w:jc w:val="center"/>
              <w:rPr>
                <w:kern w:val="0"/>
                <w:lang w:val="ru-RU" w:eastAsia="ru-RU" w:bidi="ar-SA"/>
              </w:rPr>
            </w:pPr>
            <w:r>
              <w:rPr>
                <w:rFonts w:eastAsia="Times New Roman" w:cs="Times New Roman" w:ascii="Times New Roman" w:hAnsi="Times New Roman"/>
                <w:i/>
                <w:iCs/>
                <w:kern w:val="0"/>
                <w:sz w:val="24"/>
                <w:szCs w:val="24"/>
                <w:lang w:val="ru-RU" w:eastAsia="ru-RU" w:bidi="ar-SA"/>
              </w:rPr>
              <w:t>Участник должен предоставить в заявке согласие закупить материалы и оборудование, и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trPr>
          <w:trHeight w:val="439" w:hRule="atLeast"/>
        </w:trPr>
        <w:tc>
          <w:tcPr>
            <w:tcW w:w="56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3.1.2.</w:t>
            </w:r>
          </w:p>
        </w:tc>
        <w:tc>
          <w:tcPr>
            <w:tcW w:w="2511" w:type="dxa"/>
            <w:gridSpan w:val="3"/>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tabs>
                <w:tab w:val="clear" w:pos="708"/>
                <w:tab w:val="left" w:pos="0" w:leader="none"/>
                <w:tab w:val="left" w:pos="993" w:leader="none"/>
                <w:tab w:val="left" w:pos="1418" w:leader="none"/>
              </w:tabs>
              <w:spacing w:lineRule="auto" w:line="240" w:before="0" w:after="0"/>
              <w:contextualSpacing/>
              <w:jc w:val="both"/>
              <w:rPr>
                <w:sz w:val="24"/>
                <w:szCs w:val="24"/>
              </w:rPr>
            </w:pPr>
            <w:r>
              <w:rPr>
                <w:rFonts w:eastAsia="Times New Roman" w:cs="Times New Roman" w:ascii="Times New Roman" w:hAnsi="Times New Roman"/>
                <w:bCs/>
                <w:i/>
                <w:kern w:val="0"/>
                <w:sz w:val="24"/>
                <w:szCs w:val="24"/>
                <w:lang w:val="ru-RU" w:eastAsia="ru-RU" w:bidi="ar-SA"/>
              </w:rPr>
              <w:t xml:space="preserve">Требования к </w:t>
            </w:r>
            <w:r>
              <w:rPr>
                <w:rFonts w:eastAsia="Times New Roman" w:cs="Times New Roman" w:ascii="Times New Roman" w:hAnsi="Times New Roman"/>
                <w:kern w:val="0"/>
                <w:szCs w:val="20"/>
                <w:lang w:val="ru-RU" w:eastAsia="ru-RU" w:bidi="ar-SA"/>
              </w:rPr>
              <w:t xml:space="preserve"> </w:t>
            </w:r>
            <w:r>
              <w:rPr>
                <w:rFonts w:eastAsia="Times New Roman" w:cs="Times New Roman" w:ascii="Times New Roman" w:hAnsi="Times New Roman"/>
                <w:bCs/>
                <w:i/>
                <w:kern w:val="0"/>
                <w:sz w:val="24"/>
                <w:szCs w:val="24"/>
                <w:lang w:val="ru-RU" w:eastAsia="ru-RU" w:bidi="ar-SA"/>
              </w:rPr>
              <w:t>ответственности подрядчика</w:t>
            </w:r>
          </w:p>
        </w:tc>
        <w:tc>
          <w:tcPr>
            <w:tcW w:w="9534"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Standard"/>
              <w:widowControl w:val="false"/>
              <w:tabs>
                <w:tab w:val="clear" w:pos="708"/>
                <w:tab w:val="left" w:pos="0" w:leader="none"/>
                <w:tab w:val="left" w:pos="993" w:leader="none"/>
                <w:tab w:val="left" w:pos="1418" w:leader="none"/>
              </w:tabs>
              <w:suppressAutoHyphens w:val="true"/>
              <w:spacing w:before="0" w:after="60"/>
              <w:jc w:val="both"/>
              <w:rPr>
                <w:rFonts w:ascii="Times New Roman" w:hAnsi="Times New Roman"/>
                <w:sz w:val="24"/>
                <w:szCs w:val="24"/>
              </w:rPr>
            </w:pPr>
            <w:r>
              <w:rPr>
                <w:rFonts w:eastAsia="Times New Roman" w:ascii="Times New Roman" w:hAnsi="Times New Roman"/>
                <w:kern w:val="0"/>
                <w:sz w:val="24"/>
                <w:szCs w:val="24"/>
                <w:lang w:val="ru-RU" w:eastAsia="ru-RU" w:bidi="ar-SA"/>
              </w:rPr>
              <w:t>При выполнении работ подрядчик принимает и несет ответственность за выполнение следующих обязательств</w:t>
            </w:r>
            <w:r>
              <w:rPr>
                <w:rFonts w:eastAsia="Times New Roman" w:ascii="Times New Roman" w:hAnsi="Times New Roman"/>
                <w:spacing w:val="-1"/>
                <w:kern w:val="0"/>
                <w:sz w:val="24"/>
                <w:szCs w:val="24"/>
                <w:lang w:val="ru-RU" w:eastAsia="ru-RU" w:bidi="ar-SA"/>
              </w:rPr>
              <w:t>:</w:t>
            </w:r>
          </w:p>
          <w:p>
            <w:pPr>
              <w:pStyle w:val="Standard"/>
              <w:widowControl w:val="false"/>
              <w:shd w:val="clear" w:color="auto" w:fill="FFFFFF"/>
              <w:suppressAutoHyphens w:val="true"/>
              <w:spacing w:before="0" w:after="0"/>
              <w:ind w:firstLine="227"/>
              <w:jc w:val="both"/>
              <w:rPr>
                <w:rFonts w:ascii="Times New Roman" w:hAnsi="Times New Roman"/>
                <w:spacing w:val="-1"/>
                <w:sz w:val="24"/>
                <w:szCs w:val="24"/>
              </w:rPr>
            </w:pPr>
            <w:r>
              <w:rPr>
                <w:rFonts w:eastAsia="Times New Roman" w:ascii="Times New Roman" w:hAnsi="Times New Roman"/>
                <w:spacing w:val="-1"/>
                <w:kern w:val="0"/>
                <w:sz w:val="24"/>
                <w:szCs w:val="24"/>
                <w:lang w:val="ru-RU" w:eastAsia="ru-RU" w:bidi="ar-SA"/>
              </w:rPr>
              <w:t>1.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pPr>
              <w:pStyle w:val="Standard"/>
              <w:widowControl w:val="false"/>
              <w:shd w:val="clear" w:color="auto" w:fill="FFFFFF"/>
              <w:suppressAutoHyphens w:val="true"/>
              <w:spacing w:before="0" w:after="0"/>
              <w:ind w:firstLine="227"/>
              <w:jc w:val="both"/>
              <w:rPr>
                <w:rFonts w:ascii="Times New Roman" w:hAnsi="Times New Roman"/>
                <w:spacing w:val="-1"/>
                <w:sz w:val="24"/>
                <w:szCs w:val="24"/>
              </w:rPr>
            </w:pPr>
            <w:r>
              <w:rPr>
                <w:rFonts w:eastAsia="Times New Roman" w:ascii="Times New Roman" w:hAnsi="Times New Roman"/>
                <w:spacing w:val="-1"/>
                <w:kern w:val="0"/>
                <w:sz w:val="24"/>
                <w:szCs w:val="24"/>
                <w:lang w:val="ru-RU" w:eastAsia="ru-RU" w:bidi="ar-SA"/>
              </w:rPr>
              <w:t>2. Безвозмездно откорректировать документацию по замечаниям Заказчика и предоставить корректировку в течение 3 (трех) рабочих дней;</w:t>
            </w:r>
          </w:p>
          <w:p>
            <w:pPr>
              <w:pStyle w:val="Standard"/>
              <w:widowControl w:val="false"/>
              <w:shd w:val="clear" w:color="auto" w:fill="FFFFFF"/>
              <w:suppressAutoHyphens w:val="true"/>
              <w:spacing w:before="0" w:after="0"/>
              <w:ind w:firstLine="227"/>
              <w:jc w:val="both"/>
              <w:rPr>
                <w:rFonts w:ascii="Times New Roman" w:hAnsi="Times New Roman"/>
                <w:spacing w:val="-1"/>
                <w:sz w:val="24"/>
                <w:szCs w:val="24"/>
              </w:rPr>
            </w:pPr>
            <w:r>
              <w:rPr>
                <w:rFonts w:eastAsia="Times New Roman" w:ascii="Times New Roman" w:hAnsi="Times New Roman"/>
                <w:spacing w:val="-1"/>
                <w:kern w:val="0"/>
                <w:sz w:val="24"/>
                <w:szCs w:val="24"/>
                <w:lang w:val="ru-RU" w:eastAsia="ru-RU" w:bidi="ar-SA"/>
              </w:rPr>
              <w:t>3.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pPr>
              <w:pStyle w:val="Standard"/>
              <w:widowControl w:val="false"/>
              <w:tabs>
                <w:tab w:val="clear" w:pos="708"/>
                <w:tab w:val="left" w:pos="1300" w:leader="none"/>
              </w:tabs>
              <w:suppressAutoHyphens w:val="true"/>
              <w:spacing w:before="0" w:after="0"/>
              <w:ind w:firstLine="227"/>
              <w:jc w:val="both"/>
              <w:rPr>
                <w:rFonts w:ascii="Times New Roman" w:hAnsi="Times New Roman"/>
                <w:sz w:val="24"/>
                <w:szCs w:val="24"/>
              </w:rPr>
            </w:pPr>
            <w:r>
              <w:rPr>
                <w:rFonts w:eastAsia="Times New Roman" w:ascii="Times New Roman" w:hAnsi="Times New Roman"/>
                <w:kern w:val="0"/>
                <w:sz w:val="24"/>
                <w:szCs w:val="24"/>
                <w:lang w:val="ru-RU" w:eastAsia="ru-RU" w:bidi="ar-SA"/>
              </w:rPr>
              <w:t>4. 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pPr>
              <w:pStyle w:val="Standard"/>
              <w:widowControl w:val="false"/>
              <w:tabs>
                <w:tab w:val="clear" w:pos="708"/>
                <w:tab w:val="left" w:pos="812" w:leader="none"/>
              </w:tabs>
              <w:suppressAutoHyphens w:val="true"/>
              <w:spacing w:before="0" w:after="0"/>
              <w:ind w:firstLine="227"/>
              <w:jc w:val="both"/>
              <w:rPr>
                <w:rFonts w:ascii="Times New Roman" w:hAnsi="Times New Roman"/>
                <w:sz w:val="24"/>
                <w:szCs w:val="24"/>
              </w:rPr>
            </w:pPr>
            <w:r>
              <w:rPr>
                <w:rFonts w:eastAsia="Times New Roman" w:ascii="Times New Roman" w:hAnsi="Times New Roman"/>
                <w:kern w:val="0"/>
                <w:sz w:val="24"/>
                <w:szCs w:val="24"/>
                <w:lang w:val="ru-RU" w:eastAsia="ru-RU" w:bidi="ar-SA"/>
              </w:rPr>
              <w:t>5. При выполнении рабочей документации необходимо применять оборудование и материалы, соответствующие Российским стандартам, сертифицированные в установленном порядке;</w:t>
            </w:r>
          </w:p>
          <w:p>
            <w:pPr>
              <w:pStyle w:val="Standard"/>
              <w:widowControl w:val="false"/>
              <w:tabs>
                <w:tab w:val="clear" w:pos="708"/>
                <w:tab w:val="left" w:pos="812" w:leader="none"/>
              </w:tabs>
              <w:suppressAutoHyphens w:val="true"/>
              <w:spacing w:before="0" w:after="0"/>
              <w:ind w:firstLine="227"/>
              <w:jc w:val="both"/>
              <w:rPr>
                <w:rFonts w:ascii="Times New Roman" w:hAnsi="Times New Roman"/>
                <w:sz w:val="24"/>
                <w:szCs w:val="24"/>
              </w:rPr>
            </w:pPr>
            <w:r>
              <w:rPr>
                <w:rFonts w:eastAsia="Times New Roman" w:ascii="Times New Roman" w:hAnsi="Times New Roman"/>
                <w:kern w:val="0"/>
                <w:sz w:val="24"/>
                <w:szCs w:val="24"/>
                <w:lang w:val="ru-RU" w:eastAsia="ru-RU" w:bidi="ar-SA"/>
              </w:rPr>
              <w:t>6. Любые отклонения от выбранного коридора проектируемого участка выноски ЛЭП должны иметь технико-экономические обоснования;</w:t>
            </w:r>
          </w:p>
          <w:p>
            <w:pPr>
              <w:pStyle w:val="Normal"/>
              <w:widowControl w:val="false"/>
              <w:tabs>
                <w:tab w:val="clear" w:pos="708"/>
                <w:tab w:val="left" w:pos="0" w:leader="none"/>
                <w:tab w:val="left" w:pos="993" w:leader="none"/>
                <w:tab w:val="left" w:pos="1418" w:leader="none"/>
              </w:tabs>
              <w:spacing w:before="0" w:after="200"/>
              <w:ind w:firstLine="173"/>
              <w:contextualSpacing/>
              <w:jc w:val="both"/>
              <w:rPr>
                <w:rFonts w:ascii="Times New Roman" w:hAnsi="Times New Roman" w:cs="Times New Roman"/>
                <w:sz w:val="24"/>
                <w:szCs w:val="24"/>
              </w:rPr>
            </w:pPr>
            <w:r>
              <w:rPr>
                <w:rFonts w:eastAsia="Times New Roman" w:cs="Times New Roman" w:ascii="Times New Roman" w:hAnsi="Times New Roman"/>
                <w:i/>
                <w:iCs/>
                <w:kern w:val="0"/>
                <w:sz w:val="24"/>
                <w:szCs w:val="24"/>
                <w:lang w:val="ru-RU" w:eastAsia="ru-RU" w:bidi="ar-SA"/>
              </w:rPr>
              <w:t>7. Разработанная рабочая документация является собственностью Заказчика и передача её третьим лицам без его согласия запрещается;</w:t>
            </w:r>
          </w:p>
        </w:tc>
        <w:tc>
          <w:tcPr>
            <w:tcW w:w="3402" w:type="dxa"/>
            <w:gridSpan w:val="2"/>
            <w:vMerge w:val="continue"/>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lineRule="auto" w:line="240" w:before="0" w:after="0"/>
              <w:jc w:val="center"/>
              <w:rPr>
                <w:i/>
                <w:i/>
                <w:iCs/>
                <w:sz w:val="24"/>
              </w:rPr>
            </w:pPr>
            <w:r>
              <w:rPr>
                <w:i/>
                <w:iCs/>
                <w:sz w:val="24"/>
              </w:rPr>
            </w:r>
          </w:p>
        </w:tc>
      </w:tr>
      <w:tr>
        <w:trPr/>
        <w:tc>
          <w:tcPr>
            <w:tcW w:w="56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4.</w:t>
            </w:r>
          </w:p>
        </w:tc>
        <w:tc>
          <w:tcPr>
            <w:tcW w:w="15447" w:type="dxa"/>
            <w:gridSpan w:val="6"/>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lineRule="auto" w:line="240" w:before="0" w:after="0"/>
              <w:jc w:val="both"/>
              <w:rPr>
                <w:b/>
                <w:b/>
                <w:bCs/>
                <w:sz w:val="24"/>
                <w:szCs w:val="24"/>
              </w:rPr>
            </w:pPr>
            <w:r>
              <w:rPr>
                <w:rFonts w:eastAsia="Times New Roman" w:cs="Times New Roman" w:ascii="Times New Roman" w:hAnsi="Times New Roman"/>
                <w:b/>
                <w:bCs/>
                <w:kern w:val="0"/>
                <w:sz w:val="24"/>
                <w:szCs w:val="24"/>
                <w:lang w:val="ru-RU" w:eastAsia="ru-RU" w:bidi="ar-SA"/>
              </w:rPr>
              <w:t>Требования к подрядчику (и субподрядчикам) и его обязательствам, влияющим на исполнение договора</w:t>
            </w:r>
          </w:p>
        </w:tc>
      </w:tr>
      <w:tr>
        <w:trPr/>
        <w:tc>
          <w:tcPr>
            <w:tcW w:w="56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4.1.1.</w:t>
            </w:r>
          </w:p>
        </w:tc>
        <w:tc>
          <w:tcPr>
            <w:tcW w:w="2482" w:type="dxa"/>
            <w:gridSpan w:val="2"/>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lineRule="auto" w:line="240" w:before="0" w:after="0"/>
              <w:jc w:val="center"/>
              <w:rPr>
                <w:bCs/>
                <w:i/>
                <w:i/>
                <w:sz w:val="24"/>
                <w:szCs w:val="24"/>
              </w:rPr>
            </w:pPr>
            <w:r>
              <w:rPr>
                <w:rFonts w:eastAsia="Times New Roman" w:cs="Times New Roman" w:ascii="Times New Roman" w:hAnsi="Times New Roman"/>
                <w:bCs/>
                <w:i/>
                <w:kern w:val="0"/>
                <w:sz w:val="24"/>
                <w:szCs w:val="24"/>
                <w:lang w:val="ru-RU" w:eastAsia="ru-RU" w:bidi="ar-SA"/>
              </w:rPr>
              <w:t xml:space="preserve">Требования к объему и виду работ, которые могут быть выполнены в рамках договоров субподряда  </w:t>
            </w:r>
          </w:p>
        </w:tc>
        <w:tc>
          <w:tcPr>
            <w:tcW w:w="9563" w:type="dxa"/>
            <w:gridSpan w:val="2"/>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ListParagraph"/>
              <w:widowControl w:val="false"/>
              <w:numPr>
                <w:ilvl w:val="0"/>
                <w:numId w:val="3"/>
              </w:numPr>
              <w:tabs>
                <w:tab w:val="clear" w:pos="708"/>
                <w:tab w:val="left" w:pos="457" w:leader="none"/>
              </w:tabs>
              <w:spacing w:before="0" w:after="60"/>
              <w:ind w:left="0" w:firstLine="315"/>
              <w:jc w:val="both"/>
              <w:textAlignment w:val="baseline"/>
              <w:rPr>
                <w:kern w:val="0"/>
                <w:lang w:bidi="ar-SA"/>
              </w:rPr>
            </w:pPr>
            <w:r>
              <w:rPr>
                <w:bCs/>
                <w:kern w:val="0"/>
                <w:sz w:val="24"/>
                <w:szCs w:val="24"/>
                <w:lang w:bidi="ar-SA"/>
              </w:rPr>
              <w:t>Порядок согласования субподрядных организаций определен разделом 3, п.3.4.3 проекта договора подряда.</w:t>
            </w:r>
          </w:p>
          <w:p>
            <w:pPr>
              <w:pStyle w:val="Normal"/>
              <w:widowControl w:val="false"/>
              <w:tabs>
                <w:tab w:val="clear" w:pos="708"/>
                <w:tab w:val="left" w:pos="598" w:leader="none"/>
              </w:tabs>
              <w:spacing w:before="0" w:after="0"/>
              <w:ind w:firstLine="345"/>
              <w:jc w:val="both"/>
              <w:rPr>
                <w:rFonts w:ascii="Times New Roman" w:hAnsi="Times New Roman" w:cs="Times New Roman"/>
                <w:bCs/>
                <w:sz w:val="24"/>
                <w:szCs w:val="24"/>
              </w:rPr>
            </w:pPr>
            <w:r>
              <w:rPr>
                <w:rFonts w:cs="Times New Roman" w:ascii="Times New Roman" w:hAnsi="Times New Roman"/>
                <w:bCs/>
                <w:kern w:val="0"/>
                <w:sz w:val="24"/>
                <w:szCs w:val="24"/>
                <w:lang w:val="ru-RU" w:eastAsia="ru-RU" w:bidi="ar-SA"/>
              </w:rPr>
              <w:t>Подрядчик несет при этом ответственность за действия Субподрядчиков, как за свои собственные.</w:t>
            </w:r>
          </w:p>
        </w:tc>
        <w:tc>
          <w:tcPr>
            <w:tcW w:w="3402" w:type="dxa"/>
            <w:gridSpan w:val="2"/>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lineRule="auto" w:line="240" w:before="0" w:after="0"/>
              <w:jc w:val="center"/>
              <w:rPr>
                <w:kern w:val="0"/>
                <w:lang w:val="ru-RU" w:eastAsia="ru-RU" w:bidi="ar-SA"/>
              </w:rPr>
            </w:pPr>
            <w:r>
              <w:rPr>
                <w:rFonts w:eastAsia="Times New Roman" w:cs="Times New Roman" w:ascii="Times New Roman" w:hAnsi="Times New Roman"/>
                <w:i/>
                <w:iCs/>
                <w:kern w:val="0"/>
                <w:sz w:val="24"/>
                <w:szCs w:val="24"/>
                <w:lang w:val="ru-RU" w:eastAsia="ru-RU" w:bidi="ar-SA"/>
              </w:rPr>
              <w:t>Участник должен предоставить в заявке согласие закупить материалы и оборудование, и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trPr>
          <w:trHeight w:val="63" w:hRule="atLeast"/>
        </w:trPr>
        <w:tc>
          <w:tcPr>
            <w:tcW w:w="56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ru-RU" w:eastAsia="ru-RU" w:bidi="ar-SA"/>
              </w:rPr>
              <w:t>5.</w:t>
            </w:r>
          </w:p>
        </w:tc>
        <w:tc>
          <w:tcPr>
            <w:tcW w:w="15447" w:type="dxa"/>
            <w:gridSpan w:val="6"/>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lineRule="auto" w:line="240" w:before="0" w:after="0"/>
              <w:jc w:val="both"/>
              <w:rPr>
                <w:b/>
                <w:b/>
                <w:bCs/>
                <w:sz w:val="24"/>
                <w:szCs w:val="24"/>
              </w:rPr>
            </w:pPr>
            <w:r>
              <w:rPr>
                <w:rFonts w:eastAsia="Times New Roman" w:cs="Times New Roman" w:ascii="Times New Roman" w:hAnsi="Times New Roman"/>
                <w:b/>
                <w:bCs/>
                <w:kern w:val="0"/>
                <w:sz w:val="24"/>
                <w:szCs w:val="24"/>
                <w:lang w:val="ru-RU" w:eastAsia="ru-RU" w:bidi="ar-SA"/>
              </w:rPr>
              <w:t>Прочие требования к выполняемым работам</w:t>
            </w:r>
          </w:p>
        </w:tc>
      </w:tr>
      <w:tr>
        <w:trPr>
          <w:trHeight w:val="412" w:hRule="atLeast"/>
        </w:trPr>
        <w:tc>
          <w:tcPr>
            <w:tcW w:w="56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b/>
                <w:b/>
                <w:bCs/>
                <w:sz w:val="24"/>
                <w:szCs w:val="24"/>
              </w:rPr>
            </w:pPr>
            <w:r>
              <w:rPr>
                <w:rFonts w:eastAsia="Times New Roman" w:cs="Times New Roman" w:ascii="Times New Roman" w:hAnsi="Times New Roman"/>
                <w:b/>
                <w:bCs/>
                <w:kern w:val="0"/>
                <w:sz w:val="24"/>
                <w:szCs w:val="24"/>
                <w:lang w:val="en-US" w:eastAsia="ru-RU" w:bidi="ar-SA"/>
              </w:rPr>
              <w:t>5.1</w:t>
            </w:r>
            <w:r>
              <w:rPr>
                <w:rFonts w:eastAsia="Times New Roman" w:cs="Times New Roman" w:ascii="Times New Roman" w:hAnsi="Times New Roman"/>
                <w:b/>
                <w:bCs/>
                <w:kern w:val="0"/>
                <w:sz w:val="24"/>
                <w:szCs w:val="24"/>
                <w:lang w:val="ru-RU" w:eastAsia="ru-RU" w:bidi="ar-SA"/>
              </w:rPr>
              <w:t>.</w:t>
            </w:r>
          </w:p>
        </w:tc>
        <w:tc>
          <w:tcPr>
            <w:tcW w:w="2482" w:type="dxa"/>
            <w:gridSpan w:val="2"/>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lineRule="auto" w:line="240" w:before="0" w:after="0"/>
              <w:jc w:val="center"/>
              <w:rPr>
                <w:bCs/>
                <w:i/>
                <w:i/>
                <w:sz w:val="24"/>
                <w:szCs w:val="24"/>
              </w:rPr>
            </w:pPr>
            <w:r>
              <w:rPr>
                <w:rFonts w:eastAsia="Times New Roman" w:cs="Times New Roman" w:ascii="Times New Roman" w:hAnsi="Times New Roman"/>
                <w:bCs/>
                <w:i/>
                <w:kern w:val="0"/>
                <w:sz w:val="24"/>
                <w:szCs w:val="24"/>
                <w:lang w:val="ru-RU" w:eastAsia="ru-RU" w:bidi="ar-SA"/>
              </w:rPr>
              <w:t>Особые условия</w:t>
            </w:r>
          </w:p>
        </w:tc>
        <w:tc>
          <w:tcPr>
            <w:tcW w:w="9563" w:type="dxa"/>
            <w:gridSpan w:val="2"/>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Standard"/>
              <w:widowControl w:val="false"/>
              <w:tabs>
                <w:tab w:val="clear" w:pos="708"/>
                <w:tab w:val="left" w:pos="993" w:leader="none"/>
              </w:tabs>
              <w:suppressAutoHyphens w:val="true"/>
              <w:spacing w:before="0" w:after="0"/>
              <w:ind w:right="-16" w:firstLine="567"/>
              <w:jc w:val="both"/>
              <w:rPr>
                <w:rFonts w:ascii="Times New Roman" w:hAnsi="Times New Roman"/>
                <w:sz w:val="24"/>
                <w:szCs w:val="24"/>
              </w:rPr>
            </w:pPr>
            <w:r>
              <w:rPr>
                <w:rFonts w:ascii="Times New Roman" w:hAnsi="Times New Roman"/>
                <w:kern w:val="0"/>
                <w:sz w:val="24"/>
                <w:szCs w:val="24"/>
                <w:lang w:val="ru-RU" w:eastAsia="ru-RU" w:bidi="ar-SA"/>
              </w:rPr>
              <w:t>1. При проектировании трассы прохождения ЛЭП не допускать размещение коридора трассы по территориям объектов культурного наследия;</w:t>
            </w:r>
          </w:p>
          <w:p>
            <w:pPr>
              <w:pStyle w:val="Standard"/>
              <w:widowControl w:val="false"/>
              <w:tabs>
                <w:tab w:val="clear" w:pos="708"/>
                <w:tab w:val="left" w:pos="993" w:leader="none"/>
              </w:tabs>
              <w:suppressAutoHyphens w:val="true"/>
              <w:spacing w:before="0" w:after="0"/>
              <w:ind w:right="-16" w:firstLine="567"/>
              <w:jc w:val="both"/>
              <w:rPr>
                <w:rFonts w:ascii="Times New Roman" w:hAnsi="Times New Roman"/>
                <w:sz w:val="24"/>
                <w:szCs w:val="24"/>
              </w:rPr>
            </w:pPr>
            <w:r>
              <w:rPr>
                <w:rFonts w:ascii="Times New Roman" w:hAnsi="Times New Roman"/>
                <w:kern w:val="0"/>
                <w:sz w:val="24"/>
                <w:szCs w:val="24"/>
                <w:lang w:val="ru-RU" w:eastAsia="ru-RU" w:bidi="ar-SA"/>
              </w:rPr>
              <w:t>2.</w:t>
              <w:tab/>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pPr>
              <w:pStyle w:val="Standard"/>
              <w:widowControl w:val="false"/>
              <w:tabs>
                <w:tab w:val="clear" w:pos="708"/>
                <w:tab w:val="left" w:pos="993" w:leader="none"/>
              </w:tabs>
              <w:suppressAutoHyphens w:val="true"/>
              <w:spacing w:before="0" w:after="0"/>
              <w:ind w:right="-16" w:firstLine="567"/>
              <w:jc w:val="both"/>
              <w:rPr>
                <w:rFonts w:ascii="Times New Roman" w:hAnsi="Times New Roman"/>
                <w:sz w:val="24"/>
                <w:szCs w:val="24"/>
              </w:rPr>
            </w:pPr>
            <w:r>
              <w:rPr>
                <w:rFonts w:ascii="Times New Roman" w:hAnsi="Times New Roman"/>
                <w:kern w:val="0"/>
                <w:sz w:val="24"/>
                <w:szCs w:val="24"/>
                <w:lang w:val="ru-RU" w:eastAsia="ru-RU" w:bidi="ar-SA"/>
              </w:rPr>
              <w:t>3. Выбор коридора под размещение ЛЭП производить на неразграниченных земельных участках либо на земельных участках, находящихся в государственной или муниципальной собственности и свободных от прав третьих лиц.</w:t>
            </w:r>
          </w:p>
          <w:p>
            <w:pPr>
              <w:pStyle w:val="ListParagraph"/>
              <w:widowControl w:val="false"/>
              <w:tabs>
                <w:tab w:val="clear" w:pos="708"/>
                <w:tab w:val="left" w:pos="598" w:leader="none"/>
                <w:tab w:val="left" w:pos="993" w:leader="none"/>
              </w:tabs>
              <w:spacing w:before="0" w:after="0"/>
              <w:ind w:left="0" w:firstLine="567"/>
              <w:jc w:val="both"/>
              <w:rPr>
                <w:sz w:val="24"/>
                <w:szCs w:val="24"/>
                <w:lang w:eastAsia="en-US"/>
              </w:rPr>
            </w:pPr>
            <w:r>
              <w:rPr>
                <w:kern w:val="0"/>
                <w:sz w:val="24"/>
                <w:szCs w:val="24"/>
                <w:lang w:eastAsia="en-US" w:bidi="ar-SA"/>
              </w:rPr>
              <w:t>4. Схемы границ предполагаемых к использованию земель или части земельного участка и перечень координат характерных точек этих границ в системе координат, установленной для ведения Единого государственного реестра недвижимости подготавливаются отдельно по разным электросетевым объектам.</w:t>
            </w:r>
          </w:p>
          <w:p>
            <w:pPr>
              <w:pStyle w:val="ListParagraph"/>
              <w:widowControl w:val="false"/>
              <w:tabs>
                <w:tab w:val="clear" w:pos="708"/>
                <w:tab w:val="left" w:pos="628" w:leader="none"/>
              </w:tabs>
              <w:spacing w:before="0" w:after="0"/>
              <w:ind w:left="0" w:firstLine="487"/>
              <w:jc w:val="both"/>
              <w:rPr>
                <w:bCs/>
                <w:i/>
                <w:i/>
                <w:sz w:val="24"/>
                <w:szCs w:val="24"/>
              </w:rPr>
            </w:pPr>
            <w:r>
              <w:rPr>
                <w:bCs/>
                <w:i/>
                <w:kern w:val="0"/>
                <w:sz w:val="24"/>
                <w:szCs w:val="24"/>
                <w:lang w:bidi="ar-SA"/>
              </w:rPr>
              <w:t>5. 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ТП;</w:t>
            </w:r>
          </w:p>
          <w:p>
            <w:pPr>
              <w:pStyle w:val="ListParagraph"/>
              <w:widowControl w:val="false"/>
              <w:tabs>
                <w:tab w:val="clear" w:pos="708"/>
                <w:tab w:val="left" w:pos="628" w:leader="none"/>
              </w:tabs>
              <w:spacing w:before="0" w:after="0"/>
              <w:ind w:left="0" w:firstLine="487"/>
              <w:jc w:val="both"/>
              <w:rPr>
                <w:bCs/>
                <w:i/>
                <w:i/>
                <w:sz w:val="24"/>
                <w:szCs w:val="24"/>
                <w:lang w:eastAsia="ru-RU"/>
              </w:rPr>
            </w:pPr>
            <w:r>
              <w:rPr>
                <w:bCs/>
                <w:i/>
                <w:kern w:val="0"/>
                <w:sz w:val="24"/>
                <w:szCs w:val="24"/>
                <w:lang w:eastAsia="ru-RU" w:bidi="ar-SA"/>
              </w:rPr>
              <w:t>6. При проектировании</w:t>
            </w:r>
            <w:r>
              <w:rPr>
                <w:bCs/>
                <w:i/>
                <w:kern w:val="0"/>
                <w:sz w:val="24"/>
                <w:szCs w:val="24"/>
                <w:lang w:val="ru-RU" w:eastAsia="ru-RU" w:bidi="ar-SA"/>
              </w:rPr>
              <w:t xml:space="preserve"> необходимо</w:t>
            </w:r>
            <w:r>
              <w:rPr>
                <w:bCs/>
                <w:i/>
                <w:kern w:val="0"/>
                <w:sz w:val="24"/>
                <w:szCs w:val="24"/>
                <w:lang w:eastAsia="ru-RU" w:bidi="ar-SA"/>
              </w:rPr>
              <w:t xml:space="preserve"> учитывать имеющееся оборудование у Заказчика. </w:t>
            </w:r>
            <w:r>
              <w:rPr>
                <w:bCs/>
                <w:i/>
                <w:kern w:val="0"/>
                <w:sz w:val="24"/>
                <w:szCs w:val="24"/>
                <w:lang w:val="ru-RU" w:eastAsia="ru-RU" w:bidi="ar-SA"/>
              </w:rPr>
              <w:t>Состав</w:t>
            </w:r>
            <w:r>
              <w:rPr>
                <w:bCs/>
                <w:i/>
                <w:kern w:val="0"/>
                <w:sz w:val="24"/>
                <w:szCs w:val="24"/>
                <w:lang w:eastAsia="ru-RU" w:bidi="ar-SA"/>
              </w:rPr>
              <w:t xml:space="preserve"> и характеристики этого оборудования можно получить, направив письменный Запрос заказчику после заключения договора подряда.</w:t>
            </w:r>
          </w:p>
        </w:tc>
        <w:tc>
          <w:tcPr>
            <w:tcW w:w="3402" w:type="dxa"/>
            <w:gridSpan w:val="2"/>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lineRule="auto" w:line="240" w:before="0" w:after="0"/>
              <w:jc w:val="center"/>
              <w:rPr>
                <w:kern w:val="0"/>
                <w:lang w:val="ru-RU" w:eastAsia="ru-RU" w:bidi="ar-SA"/>
              </w:rPr>
            </w:pPr>
            <w:r>
              <w:rPr>
                <w:rFonts w:eastAsia="Times New Roman" w:cs="Times New Roman" w:ascii="Times New Roman" w:hAnsi="Times New Roman"/>
                <w:i/>
                <w:iCs/>
                <w:kern w:val="0"/>
                <w:sz w:val="24"/>
                <w:szCs w:val="24"/>
                <w:lang w:val="ru-RU" w:eastAsia="ru-RU" w:bidi="ar-SA"/>
              </w:rPr>
              <w:t>Участник должен предоставить в заявке согласие закупить материалы и оборудование, и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bl>
    <w:p>
      <w:pPr>
        <w:sectPr>
          <w:footerReference w:type="default" r:id="rId3"/>
          <w:type w:val="nextPage"/>
          <w:pgSz w:orient="landscape" w:w="16838" w:h="11906"/>
          <w:pgMar w:left="426" w:right="678" w:header="0" w:top="284" w:footer="708" w:bottom="1276" w:gutter="0"/>
          <w:pgNumType w:fmt="decimal"/>
          <w:formProt w:val="false"/>
          <w:textDirection w:val="lrTb"/>
          <w:docGrid w:type="default" w:linePitch="360" w:charSpace="0"/>
        </w:sectPr>
      </w:pPr>
    </w:p>
    <w:p>
      <w:pPr>
        <w:pStyle w:val="ListParagraph"/>
        <w:numPr>
          <w:ilvl w:val="0"/>
          <w:numId w:val="2"/>
        </w:numPr>
        <w:jc w:val="center"/>
        <w:rPr>
          <w:b/>
          <w:b/>
          <w:sz w:val="28"/>
          <w:szCs w:val="28"/>
        </w:rPr>
      </w:pPr>
      <w:r>
        <w:rPr>
          <w:b/>
          <w:sz w:val="28"/>
          <w:szCs w:val="28"/>
        </w:rPr>
        <w:t>Требования к документации по ценообразованию на этапе закупки</w:t>
      </w:r>
    </w:p>
    <w:p>
      <w:pPr>
        <w:pStyle w:val="ListParagraph"/>
        <w:ind w:left="1211" w:hanging="0"/>
        <w:rPr>
          <w:b/>
          <w:b/>
          <w:sz w:val="28"/>
          <w:szCs w:val="28"/>
        </w:rPr>
      </w:pPr>
      <w:r>
        <w:rPr>
          <w:b/>
          <w:sz w:val="28"/>
          <w:szCs w:val="28"/>
        </w:rPr>
      </w:r>
      <w:bookmarkStart w:id="10" w:name="_Toc54646411"/>
      <w:bookmarkStart w:id="11" w:name="_Toc53393312"/>
      <w:bookmarkStart w:id="12" w:name="_Toc54646411"/>
      <w:bookmarkStart w:id="13" w:name="_Toc53393312"/>
      <w:bookmarkEnd w:id="12"/>
      <w:bookmarkEnd w:id="13"/>
    </w:p>
    <w:p>
      <w:pPr>
        <w:pStyle w:val="ListParagraph"/>
        <w:ind w:left="1211" w:hanging="0"/>
        <w:rPr>
          <w:b/>
          <w:b/>
          <w:sz w:val="28"/>
          <w:szCs w:val="28"/>
        </w:rPr>
      </w:pPr>
      <w:r>
        <w:rPr>
          <w:b/>
          <w:sz w:val="28"/>
          <w:szCs w:val="28"/>
        </w:rPr>
      </w:r>
    </w:p>
    <w:p>
      <w:pPr>
        <w:pStyle w:val="NormalWeb"/>
        <w:spacing w:beforeAutospacing="0" w:before="280" w:after="0"/>
        <w:ind w:firstLine="680"/>
        <w:jc w:val="both"/>
        <w:rPr/>
      </w:pPr>
      <w:r>
        <w:rPr>
          <w:lang w:val="x-none"/>
        </w:rPr>
        <w:t>3.1 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 с указанием понижающего коэффициента. (величину данного коэффициента рекомендуется учитывать с округлением до 7 знаков после запятой).</w:t>
      </w:r>
    </w:p>
    <w:p>
      <w:pPr>
        <w:pStyle w:val="NormalWeb"/>
        <w:spacing w:beforeAutospacing="0" w:before="280" w:after="0"/>
        <w:ind w:firstLine="680"/>
        <w:jc w:val="both"/>
        <w:rPr/>
      </w:pPr>
      <w:r>
        <w:rPr>
          <w:lang w:val="x-none"/>
        </w:rPr>
        <w:t>3.2 Дополнительные документы по ценообразованию (сметная документация) в состав заявки Участника не включаются.</w:t>
      </w:r>
    </w:p>
    <w:p>
      <w:pPr>
        <w:pStyle w:val="ListParagraph"/>
        <w:ind w:left="0" w:firstLine="708"/>
        <w:jc w:val="both"/>
        <w:rPr>
          <w:b/>
          <w:b/>
          <w:sz w:val="28"/>
          <w:szCs w:val="28"/>
          <w:lang w:val="ru-RU"/>
        </w:rPr>
      </w:pPr>
      <w:r>
        <w:rPr>
          <w:b/>
          <w:sz w:val="28"/>
          <w:szCs w:val="28"/>
          <w:lang w:val="ru-RU"/>
        </w:rPr>
      </w:r>
    </w:p>
    <w:p>
      <w:pPr>
        <w:pStyle w:val="ListParagraph"/>
        <w:numPr>
          <w:ilvl w:val="0"/>
          <w:numId w:val="2"/>
        </w:numPr>
        <w:jc w:val="center"/>
        <w:rPr>
          <w:b/>
          <w:b/>
          <w:sz w:val="28"/>
          <w:szCs w:val="28"/>
          <w:lang w:val="ru-RU"/>
        </w:rPr>
      </w:pPr>
      <w:bookmarkStart w:id="14" w:name="_Toc54646412"/>
      <w:bookmarkEnd w:id="14"/>
      <w:r>
        <w:rPr>
          <w:b/>
          <w:sz w:val="28"/>
          <w:szCs w:val="28"/>
          <w:lang w:val="ru-RU"/>
        </w:rPr>
        <w:t>Требования к документации по ценообразованию на этапе заключения (исполнения) договора</w:t>
      </w:r>
    </w:p>
    <w:p>
      <w:pPr>
        <w:pStyle w:val="ListParagraph"/>
        <w:ind w:left="643" w:firstLine="633"/>
        <w:jc w:val="both"/>
        <w:rPr>
          <w:rFonts w:eastAsia="" w:eastAsiaTheme="majorEastAsia"/>
          <w:bCs/>
          <w:color w:val="000000" w:themeColor="text1"/>
          <w:sz w:val="24"/>
          <w:szCs w:val="24"/>
        </w:rPr>
      </w:pPr>
      <w:r>
        <w:rPr>
          <w:rFonts w:eastAsia="" w:eastAsiaTheme="majorEastAsia"/>
          <w:bCs/>
          <w:color w:val="000000" w:themeColor="text1"/>
          <w:sz w:val="24"/>
          <w:szCs w:val="24"/>
        </w:rPr>
      </w:r>
    </w:p>
    <w:p>
      <w:pPr>
        <w:pStyle w:val="ListParagraph"/>
        <w:ind w:left="0" w:firstLine="709"/>
        <w:jc w:val="both"/>
        <w:rPr>
          <w:rFonts w:eastAsia="" w:eastAsiaTheme="majorEastAsia"/>
          <w:bCs/>
          <w:color w:val="000000" w:themeColor="text1"/>
          <w:sz w:val="24"/>
          <w:szCs w:val="24"/>
        </w:rPr>
      </w:pPr>
      <w:r>
        <w:rPr>
          <w:rFonts w:eastAsia="" w:eastAsiaTheme="majorEastAsia"/>
          <w:bCs/>
          <w:color w:val="000000" w:themeColor="text1"/>
          <w:sz w:val="24"/>
          <w:szCs w:val="24"/>
        </w:rPr>
        <w:t>4.1 Требования к составлению сметной документации (при заключении договора):</w:t>
      </w:r>
    </w:p>
    <w:p>
      <w:pPr>
        <w:pStyle w:val="ListParagraph"/>
        <w:ind w:left="0" w:firstLine="709"/>
        <w:jc w:val="both"/>
        <w:rPr>
          <w:rFonts w:eastAsia="" w:eastAsiaTheme="majorEastAsia"/>
          <w:bCs/>
          <w:color w:val="000000" w:themeColor="text1"/>
          <w:sz w:val="24"/>
          <w:szCs w:val="24"/>
        </w:rPr>
      </w:pPr>
      <w:r>
        <w:rPr>
          <w:rFonts w:eastAsia="" w:eastAsiaTheme="majorEastAsia"/>
          <w:bCs/>
          <w:color w:val="000000" w:themeColor="text1"/>
          <w:sz w:val="24"/>
          <w:szCs w:val="24"/>
        </w:rPr>
        <w:t>4.1.1 Сметная документация (</w:t>
      </w:r>
      <w:r>
        <w:rPr>
          <w:i/>
          <w:sz w:val="24"/>
          <w:szCs w:val="24"/>
          <w:lang w:eastAsia="ru-RU"/>
        </w:rPr>
        <w:t>Сводный сметный расчет</w:t>
      </w:r>
      <w:r>
        <w:rPr>
          <w:rFonts w:eastAsia="" w:eastAsiaTheme="majorEastAsia"/>
          <w:bCs/>
          <w:color w:val="000000" w:themeColor="text1"/>
          <w:sz w:val="24"/>
          <w:szCs w:val="24"/>
        </w:rPr>
        <w:t>)</w:t>
      </w:r>
      <w:r>
        <w:rPr>
          <w:rFonts w:eastAsia="" w:eastAsiaTheme="majorEastAsia"/>
          <w:bCs/>
          <w:color w:val="000000" w:themeColor="text1"/>
          <w:sz w:val="24"/>
          <w:szCs w:val="24"/>
          <w:lang w:val="ru-RU"/>
        </w:rPr>
        <w:t xml:space="preserve"> (Приложение № 3)</w:t>
      </w:r>
      <w:r>
        <w:rPr>
          <w:rFonts w:eastAsia="" w:eastAsiaTheme="majorEastAsia"/>
          <w:bCs/>
          <w:color w:val="000000" w:themeColor="text1"/>
          <w:sz w:val="24"/>
          <w:szCs w:val="24"/>
        </w:rPr>
        <w:t xml:space="preserve"> разработана заказчиком в рамках определения начальной (максимальной) цены договора в соответствии с требованиями, указанными в приложении № 4 к настоящим Техническим требованиям, и включается в состав договора </w:t>
      </w:r>
      <w:r>
        <w:rPr>
          <w:rFonts w:eastAsia="" w:eastAsiaTheme="majorEastAsia"/>
          <w:bCs/>
          <w:i/>
          <w:color w:val="000000" w:themeColor="text1"/>
          <w:sz w:val="24"/>
          <w:szCs w:val="24"/>
        </w:rPr>
        <w:t>с применением понижающего коэффициента</w:t>
      </w:r>
      <w:r>
        <w:rPr>
          <w:rFonts w:eastAsia="" w:eastAsiaTheme="majorEastAsia"/>
          <w:bCs/>
          <w:color w:val="000000" w:themeColor="text1"/>
          <w:sz w:val="24"/>
          <w:szCs w:val="24"/>
        </w:rPr>
        <w:t xml:space="preserve">, указанного в заявке Участника, с которым принято решение заключить договор. </w:t>
      </w:r>
      <w:r>
        <w:rPr>
          <w:rFonts w:eastAsia="" w:eastAsiaTheme="majorEastAsia"/>
          <w:bCs/>
          <w:i/>
          <w:color w:val="000000" w:themeColor="text1"/>
          <w:sz w:val="24"/>
          <w:szCs w:val="24"/>
        </w:rPr>
        <w:t>Понижающий коэффициент</w:t>
      </w:r>
      <w:r>
        <w:rPr>
          <w:rFonts w:eastAsia="" w:eastAsiaTheme="majorEastAsia"/>
          <w:bCs/>
          <w:color w:val="000000" w:themeColor="text1"/>
          <w:sz w:val="24"/>
          <w:szCs w:val="24"/>
        </w:rPr>
        <w:t xml:space="preserve"> начисляется в локальных сметах единым индексом в итогах (после начисления лимитированных затрат в случае составления одной сметы).</w:t>
      </w:r>
    </w:p>
    <w:p>
      <w:pPr>
        <w:pStyle w:val="ListParagraph"/>
        <w:ind w:left="0" w:firstLine="709"/>
        <w:jc w:val="both"/>
        <w:rPr>
          <w:rFonts w:eastAsia="" w:eastAsiaTheme="majorEastAsia"/>
          <w:bCs/>
          <w:color w:val="000000" w:themeColor="text1"/>
          <w:sz w:val="24"/>
          <w:szCs w:val="24"/>
        </w:rPr>
      </w:pPr>
      <w:r>
        <w:rPr>
          <w:rFonts w:eastAsia="" w:eastAsiaTheme="majorEastAsia"/>
          <w:bCs/>
          <w:color w:val="000000" w:themeColor="text1"/>
          <w:sz w:val="24"/>
          <w:szCs w:val="24"/>
        </w:rPr>
        <w:t>4.1.2. Внесение изменений в сметную документацию заказчика, кроме применения понижающего коэффициента в соответствии с п.4.1.1, не допускается.</w:t>
      </w:r>
    </w:p>
    <w:p>
      <w:pPr>
        <w:pStyle w:val="ListParagraph"/>
        <w:ind w:left="643" w:hanging="0"/>
        <w:jc w:val="center"/>
        <w:rPr>
          <w:rFonts w:eastAsia="Calibri" w:eastAsiaTheme="minorHAnsi"/>
          <w:b/>
          <w:b/>
          <w:sz w:val="28"/>
          <w:szCs w:val="28"/>
          <w:lang w:val="ru-RU" w:eastAsia="en-US"/>
        </w:rPr>
      </w:pPr>
      <w:r>
        <w:rPr>
          <w:rFonts w:eastAsia="Calibri" w:eastAsiaTheme="minorHAnsi"/>
          <w:b/>
          <w:sz w:val="28"/>
          <w:szCs w:val="28"/>
          <w:lang w:val="ru-RU" w:eastAsia="en-US"/>
        </w:rPr>
      </w:r>
    </w:p>
    <w:p>
      <w:pPr>
        <w:pStyle w:val="ListParagraph"/>
        <w:ind w:left="643" w:hanging="0"/>
        <w:jc w:val="center"/>
        <w:rPr>
          <w:rFonts w:eastAsia="Calibri" w:eastAsiaTheme="minorHAnsi"/>
          <w:b/>
          <w:b/>
          <w:sz w:val="28"/>
          <w:szCs w:val="28"/>
          <w:lang w:val="ru-RU" w:eastAsia="en-US"/>
        </w:rPr>
      </w:pPr>
      <w:r>
        <w:rPr>
          <w:rFonts w:eastAsia="Calibri" w:eastAsiaTheme="minorHAnsi"/>
          <w:b/>
          <w:sz w:val="28"/>
          <w:szCs w:val="28"/>
          <w:lang w:val="ru-RU" w:eastAsia="en-US"/>
        </w:rPr>
        <w:t>5. Приложения</w:t>
      </w:r>
    </w:p>
    <w:p>
      <w:pPr>
        <w:pStyle w:val="ListParagraph"/>
        <w:ind w:left="643" w:hanging="0"/>
        <w:jc w:val="both"/>
        <w:rPr>
          <w:rFonts w:eastAsia="Calibri" w:eastAsiaTheme="minorHAnsi"/>
          <w:b/>
          <w:b/>
          <w:sz w:val="24"/>
          <w:szCs w:val="24"/>
          <w:lang w:val="ru-RU" w:eastAsia="en-US"/>
        </w:rPr>
      </w:pPr>
      <w:r>
        <w:rPr>
          <w:rFonts w:eastAsia="Calibri" w:eastAsiaTheme="minorHAnsi"/>
          <w:b/>
          <w:sz w:val="24"/>
          <w:szCs w:val="24"/>
          <w:lang w:val="ru-RU" w:eastAsia="en-US"/>
        </w:rPr>
      </w:r>
    </w:p>
    <w:p>
      <w:pPr>
        <w:pStyle w:val="Normal"/>
        <w:tabs>
          <w:tab w:val="clear" w:pos="708"/>
          <w:tab w:val="left" w:pos="567" w:leader="none"/>
        </w:tabs>
        <w:spacing w:lineRule="auto" w:line="240" w:before="0" w:after="0"/>
        <w:jc w:val="both"/>
        <w:rPr/>
      </w:pPr>
      <w:r>
        <w:rPr>
          <w:rFonts w:eastAsia="Times New Roman" w:cs="Times New Roman" w:ascii="Times New Roman" w:hAnsi="Times New Roman"/>
          <w:i/>
          <w:sz w:val="24"/>
          <w:szCs w:val="24"/>
          <w:lang w:eastAsia="ru-RU"/>
        </w:rPr>
        <w:t>Приложение № 1: Технические условия;</w:t>
      </w:r>
    </w:p>
    <w:p>
      <w:pPr>
        <w:pStyle w:val="Normal"/>
        <w:tabs>
          <w:tab w:val="clear" w:pos="708"/>
          <w:tab w:val="left" w:pos="567" w:leader="none"/>
        </w:tabs>
        <w:spacing w:lineRule="auto" w:line="240" w:before="0" w:after="0"/>
        <w:jc w:val="both"/>
        <w:rPr/>
      </w:pPr>
      <w:r>
        <w:rPr>
          <w:rFonts w:eastAsia="Times New Roman" w:cs="Times New Roman" w:ascii="Times New Roman" w:hAnsi="Times New Roman"/>
          <w:i/>
          <w:sz w:val="24"/>
          <w:szCs w:val="24"/>
          <w:lang w:eastAsia="ru-RU"/>
        </w:rPr>
        <w:t>Приложение № 2: Регламент;</w:t>
      </w:r>
    </w:p>
    <w:p>
      <w:pPr>
        <w:pStyle w:val="Normal"/>
        <w:tabs>
          <w:tab w:val="clear" w:pos="708"/>
          <w:tab w:val="left" w:pos="567" w:leader="none"/>
        </w:tabs>
        <w:spacing w:lineRule="auto" w:line="240" w:before="0" w:after="0"/>
        <w:jc w:val="both"/>
        <w:rPr/>
      </w:pPr>
      <w:r>
        <w:rPr>
          <w:rFonts w:eastAsia="Times New Roman" w:cs="Times New Roman" w:ascii="Times New Roman" w:hAnsi="Times New Roman"/>
          <w:i/>
          <w:sz w:val="24"/>
          <w:szCs w:val="24"/>
          <w:lang w:eastAsia="ru-RU"/>
        </w:rPr>
        <w:t>Приложение № 3: Сводный сметный расчет;</w:t>
      </w:r>
    </w:p>
    <w:p>
      <w:pPr>
        <w:pStyle w:val="Normal"/>
        <w:tabs>
          <w:tab w:val="clear" w:pos="708"/>
          <w:tab w:val="left" w:pos="567" w:leader="none"/>
        </w:tabs>
        <w:spacing w:lineRule="auto" w:line="240" w:before="0" w:after="0"/>
        <w:jc w:val="both"/>
        <w:rPr/>
      </w:pPr>
      <w:r>
        <w:rPr>
          <w:rFonts w:eastAsia="Times New Roman" w:cs="Times New Roman" w:ascii="Times New Roman" w:hAnsi="Times New Roman"/>
          <w:i/>
          <w:sz w:val="24"/>
          <w:szCs w:val="24"/>
          <w:lang w:eastAsia="ru-RU"/>
        </w:rPr>
        <w:t>Приложение №4: Требования к оформлению и составлению документации по ценообразованию (сметной документации);</w:t>
      </w:r>
    </w:p>
    <w:p>
      <w:pPr>
        <w:pStyle w:val="Normal"/>
        <w:tabs>
          <w:tab w:val="clear" w:pos="708"/>
          <w:tab w:val="left" w:pos="567" w:leader="none"/>
        </w:tabs>
        <w:spacing w:lineRule="auto" w:line="240" w:before="0" w:after="0"/>
        <w:jc w:val="both"/>
        <w:rPr/>
      </w:pPr>
      <w:r>
        <w:rPr>
          <w:rFonts w:eastAsia="Times New Roman" w:cs="Times New Roman" w:ascii="Times New Roman" w:hAnsi="Times New Roman"/>
          <w:i/>
          <w:sz w:val="24"/>
          <w:szCs w:val="24"/>
          <w:lang w:eastAsia="ru-RU"/>
        </w:rPr>
        <w:t>Приложение №5: Экспликация земельных участков;</w:t>
      </w:r>
    </w:p>
    <w:p>
      <w:pPr>
        <w:pStyle w:val="Normal"/>
        <w:tabs>
          <w:tab w:val="clear" w:pos="708"/>
          <w:tab w:val="left" w:pos="567" w:leader="none"/>
        </w:tabs>
        <w:spacing w:lineRule="auto" w:line="240" w:before="0" w:after="0"/>
        <w:jc w:val="both"/>
        <w:rPr/>
      </w:pPr>
      <w:r>
        <w:rPr>
          <w:rFonts w:eastAsia="Times New Roman" w:cs="Times New Roman" w:ascii="Times New Roman" w:hAnsi="Times New Roman"/>
          <w:i/>
          <w:sz w:val="24"/>
          <w:szCs w:val="24"/>
          <w:lang w:eastAsia="ru-RU"/>
        </w:rPr>
        <w:t>Приложение №6: Ведомость рубки лесных насаждений;</w:t>
      </w:r>
    </w:p>
    <w:p>
      <w:pPr>
        <w:pStyle w:val="Normal"/>
        <w:tabs>
          <w:tab w:val="clear" w:pos="708"/>
          <w:tab w:val="left" w:pos="567" w:leader="none"/>
        </w:tabs>
        <w:spacing w:lineRule="auto" w:line="240" w:before="0" w:after="0"/>
        <w:jc w:val="both"/>
        <w:rPr/>
      </w:pPr>
      <w:r>
        <w:rPr>
          <w:rFonts w:eastAsia="Times New Roman" w:cs="Times New Roman" w:ascii="Times New Roman" w:hAnsi="Times New Roman"/>
          <w:i/>
          <w:sz w:val="24"/>
          <w:szCs w:val="24"/>
          <w:lang w:eastAsia="ru-RU"/>
        </w:rPr>
        <w:t>Приложение №7: Рекультивация.</w:t>
      </w:r>
      <w:bookmarkStart w:id="15" w:name="_GoBack"/>
      <w:bookmarkEnd w:id="15"/>
    </w:p>
    <w:p>
      <w:pPr>
        <w:pStyle w:val="Normal"/>
        <w:tabs>
          <w:tab w:val="clear" w:pos="708"/>
          <w:tab w:val="left" w:pos="567" w:leader="none"/>
        </w:tabs>
        <w:spacing w:lineRule="auto" w:line="240" w:before="0" w:after="0"/>
        <w:jc w:val="both"/>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r>
    </w:p>
    <w:p>
      <w:pPr>
        <w:pStyle w:val="Normal"/>
        <w:tabs>
          <w:tab w:val="clear" w:pos="708"/>
          <w:tab w:val="left" w:pos="567" w:leader="none"/>
        </w:tabs>
        <w:spacing w:lineRule="auto" w:line="240" w:before="0" w:after="0"/>
        <w:jc w:val="both"/>
        <w:rPr/>
      </w:pPr>
      <w:r>
        <w:rPr/>
      </w:r>
    </w:p>
    <w:sectPr>
      <w:footerReference w:type="default" r:id="rId4"/>
      <w:type w:val="nextPage"/>
      <w:pgSz w:w="11906" w:h="16838"/>
      <w:pgMar w:left="851" w:right="850" w:header="0" w:top="568" w:footer="708" w:bottom="765"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Segoe UI">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7"/>
      <w:jc w:val="right"/>
      <w:rPr/>
    </w:pPr>
    <w:r>
      <w:rPr/>
    </w:r>
  </w:p>
  <w:p>
    <w:pPr>
      <w:pStyle w:val="Style37"/>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7"/>
      <w:jc w:val="right"/>
      <w:rPr/>
    </w:pPr>
    <w:r>
      <w:rPr/>
    </w:r>
  </w:p>
  <w:p>
    <w:pPr>
      <w:pStyle w:val="Style37"/>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7"/>
      <w:jc w:val="right"/>
      <w:rPr/>
    </w:pPr>
    <w:r>
      <w:rPr/>
    </w:r>
  </w:p>
  <w:p>
    <w:pPr>
      <w:pStyle w:val="Style37"/>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86"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3"/>
      <w:numFmt w:val="decimal"/>
      <w:lvlText w:val="%1."/>
      <w:lvlJc w:val="left"/>
      <w:pPr>
        <w:tabs>
          <w:tab w:val="num" w:pos="0"/>
        </w:tabs>
        <w:ind w:left="1211" w:hanging="360"/>
      </w:pPr>
      <w:rPr>
        <w:sz w:val="28"/>
        <w:b/>
      </w:rPr>
    </w:lvl>
    <w:lvl w:ilvl="1">
      <w:start w:val="3"/>
      <w:numFmt w:val="decimal"/>
      <w:lvlText w:val="4.%2"/>
      <w:lvlJc w:val="left"/>
      <w:pPr>
        <w:tabs>
          <w:tab w:val="num" w:pos="0"/>
        </w:tabs>
        <w:ind w:left="1571" w:hanging="720"/>
      </w:pPr>
      <w:rPr>
        <w:b/>
      </w:rPr>
    </w:lvl>
    <w:lvl w:ilvl="2">
      <w:start w:val="1"/>
      <w:numFmt w:val="decimal"/>
      <w:lvlText w:val="%1.%2.%3."/>
      <w:lvlJc w:val="left"/>
      <w:pPr>
        <w:tabs>
          <w:tab w:val="num" w:pos="0"/>
        </w:tabs>
        <w:ind w:left="2422" w:hanging="720"/>
      </w:pPr>
      <w:rPr>
        <w:b/>
      </w:rPr>
    </w:lvl>
    <w:lvl w:ilvl="3">
      <w:start w:val="1"/>
      <w:numFmt w:val="decimal"/>
      <w:lvlText w:val="%1.%2.%3.%4."/>
      <w:lvlJc w:val="left"/>
      <w:pPr>
        <w:tabs>
          <w:tab w:val="num" w:pos="0"/>
        </w:tabs>
        <w:ind w:left="3633" w:hanging="1080"/>
      </w:pPr>
      <w:rPr>
        <w:b w:val="false"/>
      </w:rPr>
    </w:lvl>
    <w:lvl w:ilvl="4">
      <w:start w:val="1"/>
      <w:numFmt w:val="decimal"/>
      <w:lvlText w:val="%1.%2.%3.%4.%5."/>
      <w:lvlJc w:val="left"/>
      <w:pPr>
        <w:tabs>
          <w:tab w:val="num" w:pos="0"/>
        </w:tabs>
        <w:ind w:left="4484" w:hanging="1080"/>
      </w:pPr>
      <w:rPr>
        <w:b w:val="false"/>
      </w:rPr>
    </w:lvl>
    <w:lvl w:ilvl="5">
      <w:start w:val="1"/>
      <w:numFmt w:val="decimal"/>
      <w:lvlText w:val="%1.%2.%3.%4.%5.%6."/>
      <w:lvlJc w:val="left"/>
      <w:pPr>
        <w:tabs>
          <w:tab w:val="num" w:pos="0"/>
        </w:tabs>
        <w:ind w:left="5695" w:hanging="1440"/>
      </w:pPr>
      <w:rPr>
        <w:b w:val="false"/>
      </w:rPr>
    </w:lvl>
    <w:lvl w:ilvl="6">
      <w:start w:val="1"/>
      <w:numFmt w:val="decimal"/>
      <w:lvlText w:val="%1.%2.%3.%4.%5.%6.%7."/>
      <w:lvlJc w:val="left"/>
      <w:pPr>
        <w:tabs>
          <w:tab w:val="num" w:pos="0"/>
        </w:tabs>
        <w:ind w:left="6546" w:hanging="1440"/>
      </w:pPr>
      <w:rPr>
        <w:b w:val="false"/>
      </w:rPr>
    </w:lvl>
    <w:lvl w:ilvl="7">
      <w:start w:val="1"/>
      <w:numFmt w:val="decimal"/>
      <w:lvlText w:val="%1.%2.%3.%4.%5.%6.%7.%8."/>
      <w:lvlJc w:val="left"/>
      <w:pPr>
        <w:tabs>
          <w:tab w:val="num" w:pos="0"/>
        </w:tabs>
        <w:ind w:left="7757" w:hanging="1800"/>
      </w:pPr>
      <w:rPr>
        <w:b w:val="false"/>
      </w:rPr>
    </w:lvl>
    <w:lvl w:ilvl="8">
      <w:start w:val="1"/>
      <w:numFmt w:val="decimal"/>
      <w:lvlText w:val="%1.%2.%3.%4.%5.%6.%7.%8.%9."/>
      <w:lvlJc w:val="left"/>
      <w:pPr>
        <w:tabs>
          <w:tab w:val="num" w:pos="0"/>
        </w:tabs>
        <w:ind w:left="8608" w:hanging="1800"/>
      </w:pPr>
      <w:rPr>
        <w:b w:val="false"/>
      </w:rPr>
    </w:lvl>
  </w:abstractNum>
  <w:abstractNum w:abstractNumId="3">
    <w:lvl w:ilvl="0">
      <w:start w:val="1"/>
      <w:numFmt w:val="none"/>
      <w:suff w:val="nothing"/>
      <w:lvlText w:val=""/>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b647c"/>
    <w:pPr>
      <w:widowControl/>
      <w:suppressAutoHyphens w:val="true"/>
      <w:bidi w:val="0"/>
      <w:spacing w:lineRule="auto" w:line="276" w:before="0" w:after="200"/>
      <w:jc w:val="left"/>
    </w:pPr>
    <w:rPr>
      <w:rFonts w:ascii="Calibri" w:hAnsi="Calibri" w:eastAsia="Calibri" w:cs=""/>
      <w:color w:val="00000A"/>
      <w:kern w:val="0"/>
      <w:sz w:val="22"/>
      <w:szCs w:val="22"/>
      <w:lang w:val="ru-RU" w:eastAsia="en-US" w:bidi="ar-SA"/>
    </w:rPr>
  </w:style>
  <w:style w:type="paragraph" w:styleId="1">
    <w:name w:val="Heading 1"/>
    <w:basedOn w:val="Normal"/>
    <w:link w:val="10"/>
    <w:qFormat/>
    <w:rsid w:val="00842f5e"/>
    <w:pPr>
      <w:keepNext w:val="true"/>
      <w:spacing w:lineRule="auto" w:line="240" w:before="0" w:after="0"/>
      <w:jc w:val="center"/>
      <w:outlineLvl w:val="0"/>
    </w:pPr>
    <w:rPr>
      <w:rFonts w:ascii="Times New Roman" w:hAnsi="Times New Roman" w:eastAsia="Times New Roman" w:cs="Times New Roman"/>
      <w:b/>
      <w:sz w:val="24"/>
      <w:szCs w:val="20"/>
      <w:lang w:val="x-none" w:eastAsia="x-none"/>
    </w:rPr>
  </w:style>
  <w:style w:type="paragraph" w:styleId="4">
    <w:name w:val="Heading 4"/>
    <w:basedOn w:val="Normal"/>
    <w:link w:val="40"/>
    <w:uiPriority w:val="9"/>
    <w:semiHidden/>
    <w:unhideWhenUsed/>
    <w:qFormat/>
    <w:rsid w:val="00d36c97"/>
    <w:pPr>
      <w:keepNext w:val="true"/>
      <w:keepLines/>
      <w:spacing w:before="40" w:after="0"/>
      <w:outlineLvl w:val="3"/>
    </w:pPr>
    <w:rPr>
      <w:rFonts w:ascii="Cambria" w:hAnsi="Cambria" w:eastAsia="" w:cs="" w:asciiTheme="majorHAnsi" w:cstheme="majorBidi" w:eastAsiaTheme="majorEastAsia" w:hAnsiTheme="majorHAnsi"/>
      <w:i/>
      <w:iCs/>
      <w:color w:val="365F91" w:themeColor="accent1" w:themeShade="bf"/>
    </w:rPr>
  </w:style>
  <w:style w:type="character" w:styleId="DefaultParagraphFont" w:default="1">
    <w:name w:val="Default Paragraph Font"/>
    <w:uiPriority w:val="1"/>
    <w:semiHidden/>
    <w:unhideWhenUsed/>
    <w:qFormat/>
    <w:rPr/>
  </w:style>
  <w:style w:type="character" w:styleId="Style12" w:customStyle="1">
    <w:name w:val="Верхний колонтитул Знак"/>
    <w:basedOn w:val="DefaultParagraphFont"/>
    <w:qFormat/>
    <w:rPr/>
  </w:style>
  <w:style w:type="character" w:styleId="Style13" w:customStyle="1">
    <w:name w:val="Нижний колонтитул Знак"/>
    <w:basedOn w:val="DefaultParagraphFont"/>
    <w:uiPriority w:val="99"/>
    <w:qFormat/>
    <w:rPr/>
  </w:style>
  <w:style w:type="character" w:styleId="Style14" w:customStyle="1">
    <w:name w:val="Основной текст Знак"/>
    <w:basedOn w:val="DefaultParagraphFont"/>
    <w:qFormat/>
    <w:rPr>
      <w:rFonts w:ascii="Times New Roman" w:hAnsi="Times New Roman" w:eastAsia="Times New Roman" w:cs="Times New Roman"/>
      <w:sz w:val="28"/>
      <w:szCs w:val="28"/>
      <w:lang w:val="x-none" w:eastAsia="x-none"/>
    </w:rPr>
  </w:style>
  <w:style w:type="character" w:styleId="Annotationreference">
    <w:name w:val="annotation reference"/>
    <w:basedOn w:val="DefaultParagraphFont"/>
    <w:uiPriority w:val="99"/>
    <w:semiHidden/>
    <w:unhideWhenUsed/>
    <w:qFormat/>
    <w:rPr>
      <w:sz w:val="16"/>
      <w:szCs w:val="16"/>
    </w:rPr>
  </w:style>
  <w:style w:type="character" w:styleId="Style15" w:customStyle="1">
    <w:name w:val="Текст примечания Знак"/>
    <w:basedOn w:val="DefaultParagraphFont"/>
    <w:uiPriority w:val="99"/>
    <w:qFormat/>
    <w:rPr>
      <w:sz w:val="20"/>
      <w:szCs w:val="20"/>
    </w:rPr>
  </w:style>
  <w:style w:type="character" w:styleId="Style16" w:customStyle="1">
    <w:name w:val="Тема примечания Знак"/>
    <w:basedOn w:val="Style15"/>
    <w:uiPriority w:val="99"/>
    <w:semiHidden/>
    <w:qFormat/>
    <w:rPr>
      <w:b/>
      <w:bCs/>
      <w:sz w:val="20"/>
      <w:szCs w:val="20"/>
    </w:rPr>
  </w:style>
  <w:style w:type="character" w:styleId="Style17" w:customStyle="1">
    <w:name w:val="Текст выноски Знак"/>
    <w:basedOn w:val="DefaultParagraphFont"/>
    <w:uiPriority w:val="99"/>
    <w:semiHidden/>
    <w:qFormat/>
    <w:rPr>
      <w:rFonts w:ascii="Segoe UI" w:hAnsi="Segoe UI" w:cs="Segoe UI"/>
      <w:sz w:val="18"/>
      <w:szCs w:val="18"/>
    </w:rPr>
  </w:style>
  <w:style w:type="character" w:styleId="Style18" w:customStyle="1">
    <w:name w:val="Текст сноски Знак"/>
    <w:basedOn w:val="DefaultParagraphFont"/>
    <w:uiPriority w:val="99"/>
    <w:qFormat/>
    <w:rPr>
      <w:rFonts w:ascii="Times New Roman" w:hAnsi="Times New Roman" w:eastAsia="Times New Roman" w:cs="Times New Roman"/>
      <w:sz w:val="20"/>
      <w:szCs w:val="20"/>
      <w:lang w:eastAsia="ru-RU"/>
    </w:rPr>
  </w:style>
  <w:style w:type="character" w:styleId="Style19" w:customStyle="1">
    <w:name w:val="Абзац списка Знак"/>
    <w:uiPriority w:val="34"/>
    <w:qFormat/>
    <w:rPr>
      <w:rFonts w:ascii="Times New Roman" w:hAnsi="Times New Roman" w:eastAsia="Times New Roman" w:cs="Times New Roman"/>
      <w:sz w:val="20"/>
      <w:szCs w:val="20"/>
      <w:lang w:val="x-none" w:eastAsia="ar-SA"/>
    </w:rPr>
  </w:style>
  <w:style w:type="character" w:styleId="2" w:customStyle="1">
    <w:name w:val="Стиль2 Знак"/>
    <w:uiPriority w:val="99"/>
    <w:qFormat/>
    <w:rPr>
      <w:rFonts w:ascii="Times New Roman" w:hAnsi="Times New Roman" w:eastAsia="Times New Roman" w:cs="Times New Roman"/>
      <w:sz w:val="24"/>
      <w:szCs w:val="24"/>
      <w:lang w:val="x-none" w:eastAsia="ar-SA"/>
    </w:rPr>
  </w:style>
  <w:style w:type="character" w:styleId="Style20" w:customStyle="1">
    <w:name w:val="Текст концевой сноски Знак"/>
    <w:basedOn w:val="DefaultParagraphFont"/>
    <w:uiPriority w:val="99"/>
    <w:semiHidden/>
    <w:qFormat/>
    <w:rPr>
      <w:sz w:val="20"/>
      <w:szCs w:val="20"/>
    </w:rPr>
  </w:style>
  <w:style w:type="character" w:styleId="Style21" w:customStyle="1">
    <w:name w:val="Символ концевой сноски"/>
    <w:basedOn w:val="DefaultParagraphFont"/>
    <w:uiPriority w:val="99"/>
    <w:semiHidden/>
    <w:unhideWhenUsed/>
    <w:qFormat/>
    <w:rPr>
      <w:vertAlign w:val="superscript"/>
    </w:rPr>
  </w:style>
  <w:style w:type="character" w:styleId="Style22">
    <w:name w:val="Привязка концевой сноски"/>
    <w:rPr>
      <w:vertAlign w:val="superscript"/>
    </w:rPr>
  </w:style>
  <w:style w:type="character" w:styleId="EndnoteCharacters">
    <w:name w:val="Endnote Characters"/>
    <w:qFormat/>
    <w:rPr>
      <w:vertAlign w:val="superscript"/>
    </w:rPr>
  </w:style>
  <w:style w:type="character" w:styleId="Style23" w:customStyle="1">
    <w:name w:val="Символ сноски"/>
    <w:basedOn w:val="DefaultParagraphFont"/>
    <w:uiPriority w:val="99"/>
    <w:semiHidden/>
    <w:unhideWhenUsed/>
    <w:qFormat/>
    <w:rPr>
      <w:vertAlign w:val="superscript"/>
    </w:rPr>
  </w:style>
  <w:style w:type="character" w:styleId="Style24">
    <w:name w:val="Привязка сноски"/>
    <w:rPr>
      <w:vertAlign w:val="superscript"/>
    </w:rPr>
  </w:style>
  <w:style w:type="character" w:styleId="FootnoteCharacters">
    <w:name w:val="Footnote Characters"/>
    <w:qFormat/>
    <w:rPr>
      <w:vertAlign w:val="superscript"/>
    </w:rPr>
  </w:style>
  <w:style w:type="character" w:styleId="11" w:customStyle="1">
    <w:name w:val="Заголовок 1 Знак"/>
    <w:basedOn w:val="DefaultParagraphFont"/>
    <w:link w:val="1"/>
    <w:uiPriority w:val="9"/>
    <w:qFormat/>
    <w:rsid w:val="00842f5e"/>
    <w:rPr>
      <w:rFonts w:ascii="Times New Roman" w:hAnsi="Times New Roman" w:eastAsia="Times New Roman" w:cs="Times New Roman"/>
      <w:b/>
      <w:sz w:val="24"/>
      <w:szCs w:val="20"/>
      <w:lang w:val="x-none" w:eastAsia="x-none"/>
    </w:rPr>
  </w:style>
  <w:style w:type="character" w:styleId="3" w:customStyle="1">
    <w:name w:val="Основной текст с отступом 3 Знак"/>
    <w:basedOn w:val="DefaultParagraphFont"/>
    <w:qFormat/>
    <w:rsid w:val="00a61b8e"/>
    <w:rPr>
      <w:rFonts w:ascii="Times New Roman" w:hAnsi="Times New Roman" w:eastAsia="Times New Roman" w:cs="Times New Roman"/>
      <w:sz w:val="16"/>
      <w:szCs w:val="16"/>
      <w:lang w:eastAsia="ru-RU"/>
    </w:rPr>
  </w:style>
  <w:style w:type="character" w:styleId="Strong">
    <w:name w:val="Strong"/>
    <w:qFormat/>
    <w:rsid w:val="00a61b8e"/>
    <w:rPr>
      <w:b/>
      <w:bCs/>
    </w:rPr>
  </w:style>
  <w:style w:type="character" w:styleId="41" w:customStyle="1">
    <w:name w:val="Заголовок 4 Знак"/>
    <w:basedOn w:val="DefaultParagraphFont"/>
    <w:link w:val="4"/>
    <w:uiPriority w:val="9"/>
    <w:semiHidden/>
    <w:qFormat/>
    <w:rsid w:val="00d36c97"/>
    <w:rPr>
      <w:rFonts w:ascii="Cambria" w:hAnsi="Cambria" w:eastAsia="" w:cs="" w:asciiTheme="majorHAnsi" w:cstheme="majorBidi" w:eastAsiaTheme="majorEastAsia" w:hAnsiTheme="majorHAnsi"/>
      <w:i/>
      <w:iCs/>
      <w:color w:val="365F91" w:themeColor="accent1" w:themeShade="bf"/>
    </w:rPr>
  </w:style>
  <w:style w:type="character" w:styleId="12" w:customStyle="1">
    <w:name w:val="Гиперссылка1"/>
    <w:uiPriority w:val="99"/>
    <w:qFormat/>
    <w:rsid w:val="00bc703b"/>
    <w:rPr>
      <w:color w:val="0000FF"/>
      <w:u w:val="single"/>
    </w:rPr>
  </w:style>
  <w:style w:type="character" w:styleId="13" w:customStyle="1">
    <w:name w:val="Просмотренная гиперссылка1"/>
    <w:basedOn w:val="DefaultParagraphFont"/>
    <w:qFormat/>
    <w:rPr>
      <w:color w:val="800080"/>
      <w:u w:val="single"/>
    </w:rPr>
  </w:style>
  <w:style w:type="character" w:styleId="Style25" w:customStyle="1">
    <w:name w:val="комментарий"/>
    <w:qFormat/>
    <w:rsid w:val="00206d6d"/>
    <w:rPr>
      <w:i/>
      <w:shd w:fill="FFFF99" w:val="clear"/>
    </w:rPr>
  </w:style>
  <w:style w:type="character" w:styleId="Style26" w:customStyle="1">
    <w:name w:val="Заголовок для сожерж Знак"/>
    <w:qFormat/>
    <w:rsid w:val="00c619d9"/>
    <w:rPr>
      <w:rFonts w:ascii="Times New Roman" w:hAnsi="Times New Roman" w:eastAsia="Times New Roman" w:cs="Times New Roman"/>
      <w:sz w:val="24"/>
      <w:szCs w:val="24"/>
      <w:lang w:eastAsia="ru-RU"/>
    </w:rPr>
  </w:style>
  <w:style w:type="character" w:styleId="Style27" w:customStyle="1">
    <w:name w:val="Ссылка указателя"/>
    <w:qFormat/>
    <w:rPr/>
  </w:style>
  <w:style w:type="character" w:styleId="Style28" w:customStyle="1">
    <w:name w:val="Интернет-ссылка"/>
    <w:rPr>
      <w:color w:val="000080"/>
      <w:u w:val="single"/>
    </w:rPr>
  </w:style>
  <w:style w:type="paragraph" w:styleId="Style29">
    <w:name w:val="Заголовок"/>
    <w:basedOn w:val="Normal"/>
    <w:next w:val="Style30"/>
    <w:qFormat/>
    <w:pPr>
      <w:keepNext w:val="true"/>
      <w:spacing w:before="240" w:after="120"/>
    </w:pPr>
    <w:rPr>
      <w:rFonts w:ascii="Liberation Sans" w:hAnsi="Liberation Sans" w:eastAsia="Noto Sans CJK SC" w:cs="Lohit Devanagari"/>
      <w:sz w:val="28"/>
      <w:szCs w:val="28"/>
    </w:rPr>
  </w:style>
  <w:style w:type="paragraph" w:styleId="Style30">
    <w:name w:val="Body Text"/>
    <w:basedOn w:val="Normal"/>
    <w:pPr>
      <w:spacing w:lineRule="auto" w:line="240" w:before="0" w:after="120"/>
    </w:pPr>
    <w:rPr>
      <w:rFonts w:ascii="Times New Roman" w:hAnsi="Times New Roman" w:eastAsia="Times New Roman" w:cs="Times New Roman"/>
      <w:sz w:val="28"/>
      <w:szCs w:val="28"/>
      <w:lang w:val="x-none" w:eastAsia="x-none"/>
    </w:rPr>
  </w:style>
  <w:style w:type="paragraph" w:styleId="Style31">
    <w:name w:val="List"/>
    <w:basedOn w:val="Style30"/>
    <w:pPr/>
    <w:rPr>
      <w:rFonts w:cs="Lohit Devanagari"/>
    </w:rPr>
  </w:style>
  <w:style w:type="paragraph" w:styleId="Style32">
    <w:name w:val="Caption"/>
    <w:basedOn w:val="Normal"/>
    <w:qFormat/>
    <w:pPr>
      <w:suppressLineNumbers/>
      <w:spacing w:before="120" w:after="120"/>
    </w:pPr>
    <w:rPr>
      <w:rFonts w:cs="Lohit Devanagari"/>
      <w:i/>
      <w:iCs/>
      <w:sz w:val="24"/>
      <w:szCs w:val="24"/>
    </w:rPr>
  </w:style>
  <w:style w:type="paragraph" w:styleId="Style33">
    <w:name w:val="Указатель"/>
    <w:basedOn w:val="Normal"/>
    <w:qFormat/>
    <w:pPr>
      <w:suppressLineNumbers/>
    </w:pPr>
    <w:rPr>
      <w:rFonts w:cs="Lohit Devanagari"/>
    </w:rPr>
  </w:style>
  <w:style w:type="paragraph" w:styleId="Style34">
    <w:name w:val="Title"/>
    <w:basedOn w:val="Normal"/>
    <w:next w:val="Style30"/>
    <w:qFormat/>
    <w:pPr>
      <w:keepNext w:val="true"/>
      <w:spacing w:before="240" w:after="120"/>
    </w:pPr>
    <w:rPr>
      <w:rFonts w:ascii="Liberation Sans" w:hAnsi="Liberation Sans" w:eastAsia="Tahoma" w:cs="Lohit Devanagari"/>
      <w:sz w:val="28"/>
      <w:szCs w:val="28"/>
    </w:rPr>
  </w:style>
  <w:style w:type="paragraph" w:styleId="Caption">
    <w:name w:val="caption"/>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Caption1" w:customStyle="1">
    <w:name w:val="caption1"/>
    <w:basedOn w:val="Normal"/>
    <w:qFormat/>
    <w:pPr>
      <w:suppressLineNumbers/>
      <w:spacing w:before="120" w:after="120"/>
    </w:pPr>
    <w:rPr>
      <w:rFonts w:cs="Lohit Devanagari"/>
      <w:i/>
      <w:iCs/>
      <w:sz w:val="24"/>
      <w:szCs w:val="24"/>
    </w:rPr>
  </w:style>
  <w:style w:type="paragraph" w:styleId="Style35" w:customStyle="1">
    <w:name w:val="Колонтитул"/>
    <w:basedOn w:val="Normal"/>
    <w:qFormat/>
    <w:pPr/>
    <w:rPr/>
  </w:style>
  <w:style w:type="paragraph" w:styleId="Style36">
    <w:name w:val="Header"/>
    <w:basedOn w:val="Normal"/>
    <w:unhideWhenUsed/>
    <w:pPr>
      <w:tabs>
        <w:tab w:val="clear" w:pos="708"/>
        <w:tab w:val="center" w:pos="4677" w:leader="none"/>
        <w:tab w:val="right" w:pos="9355" w:leader="none"/>
      </w:tabs>
      <w:spacing w:lineRule="auto" w:line="240" w:before="0" w:after="0"/>
    </w:pPr>
    <w:rPr/>
  </w:style>
  <w:style w:type="paragraph" w:styleId="Style37">
    <w:name w:val="Footer"/>
    <w:basedOn w:val="Normal"/>
    <w:uiPriority w:val="99"/>
    <w:unhideWhenUsed/>
    <w:pPr>
      <w:tabs>
        <w:tab w:val="clear" w:pos="708"/>
        <w:tab w:val="center" w:pos="4677" w:leader="none"/>
        <w:tab w:val="right" w:pos="9355" w:leader="none"/>
      </w:tabs>
      <w:spacing w:lineRule="auto" w:line="240" w:before="0" w:after="0"/>
    </w:pPr>
    <w:rPr/>
  </w:style>
  <w:style w:type="paragraph" w:styleId="Annotationtext">
    <w:name w:val="annotation text"/>
    <w:basedOn w:val="Normal"/>
    <w:uiPriority w:val="99"/>
    <w:unhideWhenUsed/>
    <w:qFormat/>
    <w:pPr>
      <w:spacing w:lineRule="auto" w:line="240"/>
    </w:pPr>
    <w:rPr>
      <w:sz w:val="20"/>
      <w:szCs w:val="20"/>
    </w:rPr>
  </w:style>
  <w:style w:type="paragraph" w:styleId="Annotationsubject">
    <w:name w:val="annotation subject"/>
    <w:basedOn w:val="Annotationtext"/>
    <w:uiPriority w:val="99"/>
    <w:semiHidden/>
    <w:unhideWhenUsed/>
    <w:qFormat/>
    <w:pPr/>
    <w:rPr>
      <w:b/>
      <w:bCs/>
    </w:rPr>
  </w:style>
  <w:style w:type="paragraph" w:styleId="BalloonText">
    <w:name w:val="Balloon Text"/>
    <w:basedOn w:val="Normal"/>
    <w:uiPriority w:val="99"/>
    <w:semiHidden/>
    <w:unhideWhenUsed/>
    <w:qFormat/>
    <w:pPr>
      <w:spacing w:lineRule="auto" w:line="240" w:before="0" w:after="0"/>
    </w:pPr>
    <w:rPr>
      <w:rFonts w:ascii="Segoe UI" w:hAnsi="Segoe UI" w:cs="Segoe UI"/>
      <w:sz w:val="18"/>
      <w:szCs w:val="18"/>
    </w:rPr>
  </w:style>
  <w:style w:type="paragraph" w:styleId="Style38">
    <w:name w:val="Footnote Text"/>
    <w:basedOn w:val="Normal"/>
    <w:uiPriority w:val="99"/>
    <w:qFormat/>
    <w:pPr>
      <w:spacing w:lineRule="auto" w:line="240" w:before="0" w:after="0"/>
    </w:pPr>
    <w:rPr>
      <w:rFonts w:ascii="Times New Roman" w:hAnsi="Times New Roman" w:eastAsia="Times New Roman" w:cs="Times New Roman"/>
      <w:sz w:val="20"/>
      <w:szCs w:val="20"/>
      <w:lang w:eastAsia="ru-RU"/>
    </w:rPr>
  </w:style>
  <w:style w:type="paragraph" w:styleId="21" w:customStyle="1">
    <w:name w:val="Стиль2"/>
    <w:basedOn w:val="Normal"/>
    <w:uiPriority w:val="99"/>
    <w:qFormat/>
    <w:pPr>
      <w:tabs>
        <w:tab w:val="clear" w:pos="708"/>
        <w:tab w:val="left" w:pos="360" w:leader="none"/>
        <w:tab w:val="left" w:pos="900" w:leader="none"/>
      </w:tabs>
      <w:spacing w:lineRule="auto" w:line="240" w:before="0" w:after="0"/>
      <w:jc w:val="both"/>
    </w:pPr>
    <w:rPr>
      <w:rFonts w:ascii="Times New Roman" w:hAnsi="Times New Roman" w:eastAsia="Times New Roman" w:cs="Times New Roman"/>
      <w:sz w:val="24"/>
      <w:szCs w:val="24"/>
      <w:lang w:val="x-none" w:eastAsia="ar-SA"/>
    </w:rPr>
  </w:style>
  <w:style w:type="paragraph" w:styleId="ListParagraph">
    <w:name w:val="List Paragraph"/>
    <w:basedOn w:val="Normal"/>
    <w:qFormat/>
    <w:pPr>
      <w:widowControl w:val="false"/>
      <w:spacing w:lineRule="auto" w:line="240" w:before="0" w:after="0"/>
      <w:ind w:left="720" w:hanging="0"/>
    </w:pPr>
    <w:rPr>
      <w:rFonts w:ascii="Times New Roman" w:hAnsi="Times New Roman" w:eastAsia="Times New Roman" w:cs="Times New Roman"/>
      <w:sz w:val="20"/>
      <w:szCs w:val="20"/>
      <w:lang w:val="x-none" w:eastAsia="ar-SA"/>
    </w:rPr>
  </w:style>
  <w:style w:type="paragraph" w:styleId="Style39">
    <w:name w:val="Endnote Text"/>
    <w:basedOn w:val="Normal"/>
    <w:uiPriority w:val="99"/>
    <w:semiHidden/>
    <w:unhideWhenUsed/>
    <w:qFormat/>
    <w:pPr>
      <w:spacing w:lineRule="auto" w:line="240" w:before="0" w:after="0"/>
    </w:pPr>
    <w:rPr>
      <w:sz w:val="20"/>
      <w:szCs w:val="20"/>
    </w:rPr>
  </w:style>
  <w:style w:type="paragraph" w:styleId="Revision">
    <w:name w:val="Revision"/>
    <w:uiPriority w:val="99"/>
    <w:semiHidden/>
    <w:qFormat/>
    <w:pPr>
      <w:widowControl/>
      <w:suppressAutoHyphens w:val="true"/>
      <w:bidi w:val="0"/>
      <w:spacing w:before="0" w:after="0"/>
      <w:jc w:val="left"/>
    </w:pPr>
    <w:rPr>
      <w:rFonts w:ascii="Calibri" w:hAnsi="Calibri" w:eastAsia="Calibri" w:cs=""/>
      <w:color w:val="00000A"/>
      <w:kern w:val="0"/>
      <w:sz w:val="22"/>
      <w:szCs w:val="22"/>
      <w:lang w:val="ru-RU" w:eastAsia="en-US" w:bidi="ar-SA"/>
    </w:rPr>
  </w:style>
  <w:style w:type="paragraph" w:styleId="Style40" w:customStyle="1">
    <w:name w:val="Таблица"/>
    <w:basedOn w:val="Normal"/>
    <w:qFormat/>
    <w:rsid w:val="00bd11ad"/>
    <w:pPr>
      <w:spacing w:lineRule="auto" w:line="240" w:before="0" w:after="0"/>
    </w:pPr>
    <w:rPr>
      <w:rFonts w:ascii="Times New Roman" w:hAnsi="Times New Roman" w:eastAsia="Times New Roman" w:cs="Times New Roman"/>
      <w:sz w:val="20"/>
      <w:szCs w:val="20"/>
      <w:lang w:eastAsia="ru-RU"/>
    </w:rPr>
  </w:style>
  <w:style w:type="paragraph" w:styleId="Formattext" w:customStyle="1">
    <w:name w:val="formattext"/>
    <w:basedOn w:val="Normal"/>
    <w:qFormat/>
    <w:rsid w:val="009c08f7"/>
    <w:pPr>
      <w:spacing w:lineRule="auto" w:line="240" w:beforeAutospacing="1" w:afterAutospacing="1"/>
    </w:pPr>
    <w:rPr>
      <w:rFonts w:ascii="Times New Roman" w:hAnsi="Times New Roman" w:eastAsia="Times New Roman" w:cs="Times New Roman"/>
      <w:sz w:val="24"/>
      <w:szCs w:val="24"/>
      <w:lang w:eastAsia="ru-RU"/>
    </w:rPr>
  </w:style>
  <w:style w:type="paragraph" w:styleId="Style41" w:customStyle="1">
    <w:name w:val="Таблица шапка"/>
    <w:basedOn w:val="Normal"/>
    <w:qFormat/>
    <w:rsid w:val="009874ed"/>
    <w:pPr>
      <w:keepNext w:val="true"/>
      <w:spacing w:lineRule="auto" w:line="240" w:before="40" w:after="40"/>
      <w:ind w:left="57" w:right="57" w:hanging="0"/>
    </w:pPr>
    <w:rPr>
      <w:rFonts w:ascii="Times New Roman" w:hAnsi="Times New Roman" w:eastAsia="Times New Roman" w:cs="Times New Roman"/>
      <w:szCs w:val="26"/>
      <w:lang w:eastAsia="ru-RU"/>
    </w:rPr>
  </w:style>
  <w:style w:type="paragraph" w:styleId="Style42" w:customStyle="1">
    <w:name w:val="Раздел положения"/>
    <w:basedOn w:val="Normal"/>
    <w:autoRedefine/>
    <w:qFormat/>
    <w:rsid w:val="00a61b8e"/>
    <w:pPr>
      <w:spacing w:lineRule="auto" w:line="240" w:before="80" w:after="80"/>
      <w:jc w:val="center"/>
    </w:pPr>
    <w:rPr>
      <w:rFonts w:ascii="Times New Roman" w:hAnsi="Times New Roman" w:eastAsia="Times New Roman" w:cs="Times New Roman"/>
      <w:b/>
      <w:sz w:val="32"/>
      <w:szCs w:val="32"/>
      <w:lang w:eastAsia="ru-RU"/>
    </w:rPr>
  </w:style>
  <w:style w:type="paragraph" w:styleId="Style43" w:customStyle="1">
    <w:name w:val="Подраздел раздела положения"/>
    <w:basedOn w:val="Normal"/>
    <w:autoRedefine/>
    <w:qFormat/>
    <w:rsid w:val="00a61b8e"/>
    <w:pPr>
      <w:spacing w:lineRule="auto" w:line="240" w:before="80" w:after="80"/>
      <w:jc w:val="both"/>
    </w:pPr>
    <w:rPr>
      <w:rFonts w:ascii="Times New Roman" w:hAnsi="Times New Roman" w:eastAsia="Times New Roman" w:cs="Times New Roman"/>
      <w:sz w:val="28"/>
      <w:szCs w:val="28"/>
      <w:lang w:eastAsia="ru-RU"/>
    </w:rPr>
  </w:style>
  <w:style w:type="paragraph" w:styleId="BodyTextIndent3">
    <w:name w:val="Body Text Indent 3"/>
    <w:basedOn w:val="Normal"/>
    <w:qFormat/>
    <w:rsid w:val="00a61b8e"/>
    <w:pPr>
      <w:spacing w:lineRule="auto" w:line="240" w:before="0" w:after="120"/>
      <w:ind w:left="283" w:hanging="0"/>
    </w:pPr>
    <w:rPr>
      <w:rFonts w:ascii="Times New Roman" w:hAnsi="Times New Roman" w:eastAsia="Times New Roman" w:cs="Times New Roman"/>
      <w:sz w:val="16"/>
      <w:szCs w:val="16"/>
      <w:lang w:eastAsia="ru-RU"/>
    </w:rPr>
  </w:style>
  <w:style w:type="paragraph" w:styleId="14">
    <w:name w:val="TOC 1"/>
    <w:basedOn w:val="Normal"/>
    <w:autoRedefine/>
    <w:uiPriority w:val="39"/>
    <w:rsid w:val="00bc703b"/>
    <w:pPr>
      <w:spacing w:lineRule="auto" w:line="240" w:before="120" w:after="0"/>
    </w:pPr>
    <w:rPr>
      <w:rFonts w:ascii="Times New Roman" w:hAnsi="Times New Roman" w:eastAsia="Times New Roman" w:cs="Calibri Light (Заголовки)"/>
      <w:b/>
      <w:bCs/>
      <w:sz w:val="24"/>
      <w:szCs w:val="24"/>
      <w:lang w:eastAsia="ru-RU"/>
    </w:rPr>
  </w:style>
  <w:style w:type="paragraph" w:styleId="31">
    <w:name w:val="TOC 3"/>
    <w:basedOn w:val="Normal"/>
    <w:autoRedefine/>
    <w:uiPriority w:val="39"/>
    <w:rsid w:val="00bc703b"/>
    <w:pPr>
      <w:spacing w:lineRule="auto" w:line="240" w:before="0" w:after="0"/>
      <w:ind w:left="280" w:hanging="0"/>
    </w:pPr>
    <w:rPr>
      <w:rFonts w:ascii="Times New Roman" w:hAnsi="Times New Roman" w:eastAsia="Times New Roman" w:cs="Calibri" w:cstheme="minorHAnsi"/>
      <w:sz w:val="20"/>
      <w:szCs w:val="20"/>
      <w:lang w:eastAsia="ru-RU"/>
    </w:rPr>
  </w:style>
  <w:style w:type="paragraph" w:styleId="42">
    <w:name w:val="TOC 4"/>
    <w:basedOn w:val="Normal"/>
    <w:autoRedefine/>
    <w:uiPriority w:val="39"/>
    <w:rsid w:val="00bc703b"/>
    <w:pPr>
      <w:spacing w:lineRule="auto" w:line="240" w:before="0" w:after="0"/>
      <w:ind w:left="560" w:hanging="0"/>
    </w:pPr>
    <w:rPr>
      <w:rFonts w:ascii="Times New Roman" w:hAnsi="Times New Roman" w:eastAsia="Times New Roman" w:cs="Calibri" w:cstheme="minorHAnsi"/>
      <w:sz w:val="20"/>
      <w:szCs w:val="20"/>
      <w:lang w:eastAsia="ru-RU"/>
    </w:rPr>
  </w:style>
  <w:style w:type="paragraph" w:styleId="NoSpacing">
    <w:name w:val="No Spacing"/>
    <w:basedOn w:val="Normal"/>
    <w:uiPriority w:val="1"/>
    <w:qFormat/>
    <w:rsid w:val="00206d6d"/>
    <w:pPr>
      <w:spacing w:lineRule="auto" w:line="360" w:before="0" w:after="0"/>
    </w:pPr>
    <w:rPr>
      <w:rFonts w:ascii="Times New Roman" w:hAnsi="Times New Roman" w:cs="Times New Roman"/>
      <w:sz w:val="24"/>
      <w:szCs w:val="24"/>
      <w:lang w:eastAsia="ru-RU"/>
    </w:rPr>
  </w:style>
  <w:style w:type="paragraph" w:styleId="Style81" w:customStyle="1">
    <w:name w:val="Style8"/>
    <w:basedOn w:val="Normal"/>
    <w:qFormat/>
    <w:rsid w:val="00701de7"/>
    <w:pPr>
      <w:widowControl w:val="false"/>
      <w:spacing w:lineRule="exact" w:line="298" w:before="0" w:after="0"/>
      <w:jc w:val="both"/>
    </w:pPr>
    <w:rPr>
      <w:rFonts w:ascii="Times New Roman" w:hAnsi="Times New Roman" w:eastAsia="Times New Roman" w:cs="Times New Roman"/>
      <w:sz w:val="24"/>
      <w:szCs w:val="24"/>
      <w:lang w:eastAsia="ru-RU"/>
    </w:rPr>
  </w:style>
  <w:style w:type="paragraph" w:styleId="Style44" w:customStyle="1">
    <w:name w:val="Заголовок для сожерж"/>
    <w:basedOn w:val="1"/>
    <w:qFormat/>
    <w:rsid w:val="00c619d9"/>
    <w:pPr>
      <w:jc w:val="left"/>
    </w:pPr>
    <w:rPr>
      <w:b w:val="false"/>
      <w:szCs w:val="24"/>
      <w:lang w:val="ru-RU" w:eastAsia="ru-RU"/>
    </w:rPr>
  </w:style>
  <w:style w:type="paragraph" w:styleId="Standard" w:customStyle="1">
    <w:name w:val="Standard"/>
    <w:qFormat/>
    <w:rsid w:val="00904388"/>
    <w:pPr>
      <w:widowControl/>
      <w:suppressAutoHyphens w:val="true"/>
      <w:bidi w:val="0"/>
      <w:spacing w:before="0" w:after="0"/>
      <w:jc w:val="left"/>
      <w:textAlignment w:val="baseline"/>
    </w:pPr>
    <w:rPr>
      <w:rFonts w:ascii="Calibri" w:hAnsi="Calibri" w:eastAsia="Calibri" w:cs="Tahoma"/>
      <w:color w:val="00000A"/>
      <w:kern w:val="0"/>
      <w:sz w:val="22"/>
      <w:szCs w:val="22"/>
      <w:lang w:val="ru-RU" w:eastAsia="en-US" w:bidi="ar-SA"/>
    </w:rPr>
  </w:style>
  <w:style w:type="paragraph" w:styleId="EndnoteSymbol" w:customStyle="1">
    <w:name w:val="Endnote Symbol"/>
    <w:basedOn w:val="Standard"/>
    <w:qFormat/>
    <w:rsid w:val="00904388"/>
    <w:pPr/>
    <w:rPr>
      <w:sz w:val="20"/>
      <w:szCs w:val="20"/>
    </w:rPr>
  </w:style>
  <w:style w:type="paragraph" w:styleId="NormalWeb">
    <w:name w:val="Normal (Web)"/>
    <w:basedOn w:val="Normal"/>
    <w:uiPriority w:val="99"/>
    <w:semiHidden/>
    <w:unhideWhenUsed/>
    <w:qFormat/>
    <w:rsid w:val="004019ad"/>
    <w:pPr>
      <w:spacing w:lineRule="auto" w:line="240" w:beforeAutospacing="1" w:after="119"/>
    </w:pPr>
    <w:rPr>
      <w:rFonts w:ascii="Times New Roman" w:hAnsi="Times New Roman" w:eastAsia="Times New Roman" w:cs="Times New Roman"/>
      <w:sz w:val="24"/>
      <w:szCs w:val="24"/>
      <w:lang w:eastAsia="ru-RU"/>
    </w:rPr>
  </w:style>
  <w:style w:type="paragraph" w:styleId="Toaheading">
    <w:name w:val="toa heading"/>
    <w:basedOn w:val="Style34"/>
    <w:qFormat/>
    <w:pPr/>
    <w:rPr/>
  </w:style>
  <w:style w:type="paragraph" w:styleId="22">
    <w:name w:val="TOC 2"/>
    <w:basedOn w:val="Normal"/>
    <w:pPr>
      <w:spacing w:before="0" w:after="100"/>
      <w:ind w:left="220" w:hanging="0"/>
    </w:pPr>
    <w:rPr>
      <w:rFonts w:ascii="Times New Roman" w:hAnsi="Times New Roman" w:eastAsia="Times New Roman"/>
      <w:sz w:val="24"/>
      <w:lang w:eastAsia="ru-RU"/>
    </w:rPr>
  </w:style>
  <w:style w:type="paragraph" w:styleId="Style45" w:customStyle="1">
    <w:name w:val="Содержимое таблицы"/>
    <w:basedOn w:val="Normal"/>
    <w:qFormat/>
    <w:pPr>
      <w:widowControl w:val="false"/>
      <w:suppressLineNumbers/>
    </w:pPr>
    <w:rPr/>
  </w:style>
  <w:style w:type="paragraph" w:styleId="Style46" w:customStyle="1">
    <w:name w:val="Заголовок таблицы"/>
    <w:basedOn w:val="Style45"/>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e">
    <w:name w:val="Table Grid"/>
    <w:basedOn w:val="a1"/>
    <w:uiPriority w:val="39"/>
    <w:rsid w:val="00d524dd"/>
    <w:rPr>
      <w:lang w:eastAsia="ru-RU"/>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Style0">
    <w:name w:val="TableStyle0"/>
    <w:rsid w:val="009d74ff"/>
    <w:rPr>
      <w:rFonts w:eastAsiaTheme="minorEastAsia"/>
      <w:lang w:eastAsia="ru-RU"/>
      <w:sz w:val="16"/>
    </w:rPr>
    <w:tblPr>
      <w:tblCellMar>
        <w:top w:w="0" w:type="dxa"/>
        <w:left w:w="0" w:type="dxa"/>
        <w:bottom w:w="0" w:type="dxa"/>
        <w:right w:w="0" w:type="dxa"/>
      </w:tblCellMar>
    </w:tblPr>
  </w:style>
  <w:style w:type="table" w:customStyle="1" w:styleId="TableStyle1">
    <w:name w:val="TableStyle1"/>
    <w:rsid w:val="009d74ff"/>
    <w:rPr>
      <w:rFonts w:eastAsiaTheme="minorEastAsia"/>
      <w:lang w:eastAsia="ru-RU"/>
      <w:sz w:val="16"/>
    </w:rPr>
    <w:tblPr>
      <w:tblCellMar>
        <w:top w:w="0" w:type="dxa"/>
        <w:left w:w="0" w:type="dxa"/>
        <w:bottom w:w="0" w:type="dxa"/>
        <w:right w:w="0" w:type="dxa"/>
      </w:tblCellMar>
    </w:tblPr>
  </w:style>
  <w:style w:type="table" w:customStyle="1" w:styleId="TableStyle2">
    <w:name w:val="TableStyle2"/>
    <w:rsid w:val="009d74ff"/>
    <w:rPr>
      <w:rFonts w:eastAsiaTheme="minorEastAsia"/>
      <w:lang w:eastAsia="ru-RU"/>
      <w:sz w:val="16"/>
    </w:rPr>
    <w:tblPr>
      <w:tblCellMar>
        <w:top w:w="0" w:type="dxa"/>
        <w:left w:w="0" w:type="dxa"/>
        <w:bottom w:w="0" w:type="dxa"/>
        <w:right w:w="0" w:type="dxa"/>
      </w:tblCellMar>
    </w:tblPr>
  </w:style>
  <w:style w:type="table" w:customStyle="1" w:styleId="TableStyle3">
    <w:name w:val="TableStyle3"/>
    <w:rsid w:val="009d74ff"/>
    <w:rPr>
      <w:rFonts w:eastAsiaTheme="minorEastAsia"/>
      <w:lang w:eastAsia="ru-RU"/>
      <w:sz w:val="16"/>
    </w:rPr>
    <w:tblPr>
      <w:tblCellMar>
        <w:top w:w="0" w:type="dxa"/>
        <w:left w:w="0" w:type="dxa"/>
        <w:bottom w:w="0" w:type="dxa"/>
        <w:right w:w="0" w:type="dxa"/>
      </w:tblCellMar>
    </w:tblPr>
  </w:style>
  <w:style w:type="table" w:customStyle="1" w:styleId="TableStyle4">
    <w:name w:val="TableStyle4"/>
    <w:rsid w:val="009d74ff"/>
    <w:rPr>
      <w:rFonts w:eastAsiaTheme="minorEastAsia"/>
      <w:lang w:eastAsia="ru-RU"/>
      <w:sz w:val="16"/>
    </w:rPr>
    <w:tblPr>
      <w:tblCellMar>
        <w:top w:w="0" w:type="dxa"/>
        <w:left w:w="0" w:type="dxa"/>
        <w:bottom w:w="0" w:type="dxa"/>
        <w:right w:w="0" w:type="dxa"/>
      </w:tblCellMar>
    </w:tblPr>
  </w:style>
  <w:style w:type="table" w:customStyle="1" w:styleId="TableStyle5">
    <w:name w:val="TableStyle5"/>
    <w:rsid w:val="009d74ff"/>
    <w:rPr>
      <w:rFonts w:eastAsiaTheme="minorEastAsia"/>
      <w:lang w:eastAsia="ru-RU"/>
      <w:sz w:val="16"/>
    </w:rPr>
    <w:tblPr>
      <w:tblCellMar>
        <w:top w:w="0" w:type="dxa"/>
        <w:left w:w="0" w:type="dxa"/>
        <w:bottom w:w="0" w:type="dxa"/>
        <w:right w:w="0" w:type="dxa"/>
      </w:tblCellMar>
    </w:tblPr>
  </w:style>
  <w:style w:type="table" w:customStyle="1" w:styleId="TableStyle6">
    <w:name w:val="TableStyle6"/>
    <w:rsid w:val="009d74ff"/>
    <w:rPr>
      <w:rFonts w:eastAsiaTheme="minorEastAsia"/>
      <w:lang w:eastAsia="ru-RU"/>
      <w:sz w:val="16"/>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1D465-932B-4436-BC28-D8D1C775A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Application>LibreOffice/7.1.8.1$Linux_X86_64 LibreOffice_project/10$Build-1</Application>
  <AppVersion>15.0000</AppVersion>
  <Pages>21</Pages>
  <Words>4747</Words>
  <Characters>33455</Characters>
  <CharactersWithSpaces>37843</CharactersWithSpaces>
  <Paragraphs>449</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2025-07-14T14:33:00Z</dcterms:created>
  <dc:creator>Ромашенков Владимир Викторович</dc:creator>
  <dc:description/>
  <dc:language>ru-RU</dc:language>
  <cp:lastModifiedBy/>
  <cp:lastPrinted>2025-08-04T23:29:00Z</cp:lastPrinted>
  <dcterms:modified xsi:type="dcterms:W3CDTF">2026-07-09T15:25:10Z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